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16DC" w14:textId="465604A7" w:rsidR="006F78E7" w:rsidRDefault="00613FAE" w:rsidP="006F78E7">
      <w:pPr>
        <w:rPr>
          <w:rFonts w:ascii="標楷體" w:eastAsia="標楷體" w:hAnsi="標楷體"/>
        </w:rPr>
      </w:pPr>
      <w:r>
        <w:rPr>
          <w:rFonts w:ascii="標楷體" w:eastAsia="標楷體" w:hAnsi="標楷體" w:hint="eastAsia"/>
        </w:rPr>
        <w:t>長官</w:t>
      </w:r>
      <w:r w:rsidR="00B90D5A">
        <w:rPr>
          <w:rFonts w:ascii="標楷體" w:eastAsia="標楷體" w:hAnsi="標楷體" w:hint="eastAsia"/>
        </w:rPr>
        <w:t>提出缺失:</w:t>
      </w:r>
      <w:r w:rsidR="00CC0280" w:rsidRPr="00CC0280">
        <w:rPr>
          <w:rFonts w:hint="eastAsia"/>
        </w:rPr>
        <w:t xml:space="preserve"> </w:t>
      </w:r>
      <w:r w:rsidR="00B863D2" w:rsidRPr="00B863D2">
        <w:rPr>
          <w:rFonts w:ascii="標楷體" w:eastAsia="標楷體" w:hAnsi="標楷體" w:hint="eastAsia"/>
        </w:rPr>
        <w:t>年報未揭露章程中訂明之董事及經理人之酬金給付原則及酬金計算方法，且未說明給付酬金之程序已將董事及經理人績效評估(需列舉重要項目，不得僅以個人表現/績效/貢獻等文字替代之)之相關結果納入考量</w:t>
      </w:r>
    </w:p>
    <w:p w14:paraId="42189364" w14:textId="77777777" w:rsidR="0040670F" w:rsidRDefault="0040670F" w:rsidP="006F78E7">
      <w:pPr>
        <w:rPr>
          <w:rFonts w:ascii="標楷體" w:eastAsia="標楷體" w:hAnsi="標楷體"/>
        </w:rPr>
      </w:pPr>
    </w:p>
    <w:p w14:paraId="113DA916" w14:textId="77777777" w:rsidR="003D0E28" w:rsidRPr="003D0E28" w:rsidRDefault="006F78E7" w:rsidP="003D0E28">
      <w:pPr>
        <w:rPr>
          <w:rFonts w:ascii="標楷體" w:eastAsia="標楷體" w:hAnsi="標楷體"/>
          <w:b/>
          <w:bCs/>
        </w:rPr>
      </w:pPr>
      <w:r>
        <w:rPr>
          <w:rFonts w:ascii="標楷體" w:eastAsia="標楷體" w:hAnsi="標楷體" w:hint="eastAsia"/>
        </w:rPr>
        <w:t>複查說明:</w:t>
      </w:r>
      <w:r w:rsidRPr="006F78E7">
        <w:rPr>
          <w:rFonts w:ascii="標楷體" w:eastAsia="標楷體" w:hAnsi="標楷體" w:hint="eastAsia"/>
        </w:rPr>
        <w:t xml:space="preserve"> </w:t>
      </w:r>
      <w:r w:rsidR="003D0E28" w:rsidRPr="003D0E28">
        <w:rPr>
          <w:rFonts w:ascii="標楷體" w:eastAsia="標楷體" w:hAnsi="標楷體"/>
          <w:b/>
          <w:bCs/>
        </w:rPr>
        <w:t>年報揭露董事及經理人酬金給付原則、計算方法及與績效評估的連結</w:t>
      </w:r>
    </w:p>
    <w:p w14:paraId="058C7927" w14:textId="77777777" w:rsidR="003D0E28" w:rsidRPr="003D0E28" w:rsidRDefault="003D0E28" w:rsidP="003D0E28">
      <w:pPr>
        <w:rPr>
          <w:rFonts w:ascii="標楷體" w:eastAsia="標楷體" w:hAnsi="標楷體"/>
          <w:b/>
          <w:bCs/>
        </w:rPr>
      </w:pPr>
      <w:r w:rsidRPr="003D0E28">
        <w:rPr>
          <w:rFonts w:ascii="標楷體" w:eastAsia="標楷體" w:hAnsi="標楷體"/>
          <w:b/>
          <w:bCs/>
        </w:rPr>
        <w:t>主旨： 針對主管機關指正本公司年報未明確揭露董事及經理人酬金給付原則、計算方法及其與績效評估的連結性，擬補強揭露內容，以確保符合主管機關規範，提升資訊透明度。</w:t>
      </w:r>
    </w:p>
    <w:p w14:paraId="79107D92" w14:textId="77777777" w:rsidR="003D0E28" w:rsidRPr="003D0E28" w:rsidRDefault="003D0E28" w:rsidP="003D0E28">
      <w:pPr>
        <w:rPr>
          <w:rFonts w:ascii="標楷體" w:eastAsia="標楷體" w:hAnsi="標楷體"/>
          <w:b/>
          <w:bCs/>
        </w:rPr>
      </w:pPr>
      <w:r w:rsidRPr="003D0E28">
        <w:rPr>
          <w:rFonts w:ascii="標楷體" w:eastAsia="標楷體" w:hAnsi="標楷體"/>
          <w:b/>
          <w:bCs/>
        </w:rPr>
        <w:pict w14:anchorId="6F706B57">
          <v:rect id="_x0000_i1103" style="width:0;height:1.5pt" o:hralign="center" o:hrstd="t" o:hr="t" fillcolor="#a0a0a0" stroked="f"/>
        </w:pict>
      </w:r>
    </w:p>
    <w:p w14:paraId="08AE30EB" w14:textId="77777777" w:rsidR="003D0E28" w:rsidRPr="003D0E28" w:rsidRDefault="003D0E28" w:rsidP="003D0E28">
      <w:pPr>
        <w:rPr>
          <w:rFonts w:ascii="標楷體" w:eastAsia="標楷體" w:hAnsi="標楷體"/>
          <w:b/>
          <w:bCs/>
        </w:rPr>
      </w:pPr>
      <w:r w:rsidRPr="003D0E28">
        <w:rPr>
          <w:rFonts w:ascii="標楷體" w:eastAsia="標楷體" w:hAnsi="標楷體"/>
          <w:b/>
          <w:bCs/>
        </w:rPr>
        <w:t>一、董事及經理人酬金給付原則與計算方法</w:t>
      </w:r>
    </w:p>
    <w:p w14:paraId="1D9769FC" w14:textId="77777777" w:rsidR="003D0E28" w:rsidRPr="003D0E28" w:rsidRDefault="003D0E28" w:rsidP="003D0E28">
      <w:pPr>
        <w:rPr>
          <w:rFonts w:ascii="標楷體" w:eastAsia="標楷體" w:hAnsi="標楷體"/>
          <w:b/>
          <w:bCs/>
        </w:rPr>
      </w:pPr>
      <w:r w:rsidRPr="003D0E28">
        <w:rPr>
          <w:rFonts w:ascii="標楷體" w:eastAsia="標楷體" w:hAnsi="標楷體"/>
          <w:b/>
          <w:bCs/>
        </w:rPr>
        <w:t>本公司已設置薪資報酬委員會，並由全體獨立董事擔任委員，負責董事及經理人酬金政策之訂定與檢討，確保薪酬制度符合公司營運目標與股東權益。</w:t>
      </w:r>
    </w:p>
    <w:p w14:paraId="54C9AE61" w14:textId="77777777" w:rsidR="003D0E28" w:rsidRPr="003D0E28" w:rsidRDefault="003D0E28" w:rsidP="003D0E28">
      <w:pPr>
        <w:numPr>
          <w:ilvl w:val="0"/>
          <w:numId w:val="16"/>
        </w:numPr>
        <w:rPr>
          <w:rFonts w:ascii="標楷體" w:eastAsia="標楷體" w:hAnsi="標楷體"/>
          <w:b/>
          <w:bCs/>
        </w:rPr>
      </w:pPr>
      <w:r w:rsidRPr="003D0E28">
        <w:rPr>
          <w:rFonts w:ascii="標楷體" w:eastAsia="標楷體" w:hAnsi="標楷體"/>
          <w:b/>
          <w:bCs/>
        </w:rPr>
        <w:t xml:space="preserve">酬金給付原則： </w:t>
      </w:r>
    </w:p>
    <w:p w14:paraId="5833A42A" w14:textId="77777777" w:rsidR="003D0E28" w:rsidRPr="003D0E28" w:rsidRDefault="003D0E28" w:rsidP="003D0E28">
      <w:pPr>
        <w:numPr>
          <w:ilvl w:val="1"/>
          <w:numId w:val="16"/>
        </w:numPr>
        <w:rPr>
          <w:rFonts w:ascii="標楷體" w:eastAsia="標楷體" w:hAnsi="標楷體"/>
          <w:b/>
          <w:bCs/>
        </w:rPr>
      </w:pPr>
      <w:r w:rsidRPr="003D0E28">
        <w:rPr>
          <w:rFonts w:ascii="標楷體" w:eastAsia="標楷體" w:hAnsi="標楷體"/>
          <w:b/>
          <w:bCs/>
        </w:rPr>
        <w:t xml:space="preserve">依據董事會授權之薪資報酬委員會決議，董事及經理人之薪資報酬政策綜合考量以下因素： </w:t>
      </w:r>
    </w:p>
    <w:p w14:paraId="502DD2CC" w14:textId="77777777" w:rsidR="003D0E28" w:rsidRPr="003D0E28" w:rsidRDefault="003D0E28" w:rsidP="003D0E28">
      <w:pPr>
        <w:numPr>
          <w:ilvl w:val="2"/>
          <w:numId w:val="16"/>
        </w:numPr>
        <w:rPr>
          <w:rFonts w:ascii="標楷體" w:eastAsia="標楷體" w:hAnsi="標楷體"/>
          <w:b/>
          <w:bCs/>
        </w:rPr>
      </w:pPr>
      <w:r w:rsidRPr="003D0E28">
        <w:rPr>
          <w:rFonts w:ascii="標楷體" w:eastAsia="標楷體" w:hAnsi="標楷體"/>
          <w:b/>
          <w:bCs/>
        </w:rPr>
        <w:t>市場薪酬水準：參考國內外同業標竿企業薪酬水準，確保</w:t>
      </w:r>
      <w:proofErr w:type="gramStart"/>
      <w:r w:rsidRPr="003D0E28">
        <w:rPr>
          <w:rFonts w:ascii="標楷體" w:eastAsia="標楷體" w:hAnsi="標楷體"/>
          <w:b/>
          <w:bCs/>
        </w:rPr>
        <w:t>薪酬具市場</w:t>
      </w:r>
      <w:proofErr w:type="gramEnd"/>
      <w:r w:rsidRPr="003D0E28">
        <w:rPr>
          <w:rFonts w:ascii="標楷體" w:eastAsia="標楷體" w:hAnsi="標楷體"/>
          <w:b/>
          <w:bCs/>
        </w:rPr>
        <w:t>競爭力。</w:t>
      </w:r>
    </w:p>
    <w:p w14:paraId="08FCB966" w14:textId="77777777" w:rsidR="003D0E28" w:rsidRPr="003D0E28" w:rsidRDefault="003D0E28" w:rsidP="003D0E28">
      <w:pPr>
        <w:numPr>
          <w:ilvl w:val="2"/>
          <w:numId w:val="16"/>
        </w:numPr>
        <w:rPr>
          <w:rFonts w:ascii="標楷體" w:eastAsia="標楷體" w:hAnsi="標楷體"/>
          <w:b/>
          <w:bCs/>
        </w:rPr>
      </w:pPr>
      <w:r w:rsidRPr="003D0E28">
        <w:rPr>
          <w:rFonts w:ascii="標楷體" w:eastAsia="標楷體" w:hAnsi="標楷體"/>
          <w:b/>
          <w:bCs/>
        </w:rPr>
        <w:t>職務與責任：根據董事及經理人所擔任職務之職責、影響力及決策權重，調整薪資與績效獎金比例。</w:t>
      </w:r>
    </w:p>
    <w:p w14:paraId="62613700" w14:textId="77777777" w:rsidR="003D0E28" w:rsidRPr="003D0E28" w:rsidRDefault="003D0E28" w:rsidP="003D0E28">
      <w:pPr>
        <w:numPr>
          <w:ilvl w:val="2"/>
          <w:numId w:val="16"/>
        </w:numPr>
        <w:rPr>
          <w:rFonts w:ascii="標楷體" w:eastAsia="標楷體" w:hAnsi="標楷體"/>
          <w:b/>
          <w:bCs/>
        </w:rPr>
      </w:pPr>
      <w:r w:rsidRPr="003D0E28">
        <w:rPr>
          <w:rFonts w:ascii="標楷體" w:eastAsia="標楷體" w:hAnsi="標楷體"/>
          <w:b/>
          <w:bCs/>
        </w:rPr>
        <w:t>個人績效與公司經營成果：以明確量化指標評估個人績效表現，並與公司財務與非財務指標相結合，以合理分配薪酬。</w:t>
      </w:r>
    </w:p>
    <w:p w14:paraId="4687D6A3" w14:textId="77777777" w:rsidR="003D0E28" w:rsidRPr="003D0E28" w:rsidRDefault="003D0E28" w:rsidP="003D0E28">
      <w:pPr>
        <w:numPr>
          <w:ilvl w:val="2"/>
          <w:numId w:val="16"/>
        </w:numPr>
        <w:rPr>
          <w:rFonts w:ascii="標楷體" w:eastAsia="標楷體" w:hAnsi="標楷體"/>
          <w:b/>
          <w:bCs/>
        </w:rPr>
      </w:pPr>
      <w:r w:rsidRPr="003D0E28">
        <w:rPr>
          <w:rFonts w:ascii="標楷體" w:eastAsia="標楷體" w:hAnsi="標楷體"/>
          <w:b/>
          <w:bCs/>
        </w:rPr>
        <w:t>長期激勵：設計長期績效激勵計畫（如股票選擇權、限制性股票、長期績效獎金等），確保董事及經理人利益與公司長期發展一致。</w:t>
      </w:r>
    </w:p>
    <w:p w14:paraId="64420AAC" w14:textId="77777777" w:rsidR="003D0E28" w:rsidRPr="003D0E28" w:rsidRDefault="003D0E28" w:rsidP="003D0E28">
      <w:pPr>
        <w:numPr>
          <w:ilvl w:val="0"/>
          <w:numId w:val="16"/>
        </w:numPr>
        <w:rPr>
          <w:rFonts w:ascii="標楷體" w:eastAsia="標楷體" w:hAnsi="標楷體"/>
          <w:b/>
          <w:bCs/>
        </w:rPr>
      </w:pPr>
      <w:r w:rsidRPr="003D0E28">
        <w:rPr>
          <w:rFonts w:ascii="標楷體" w:eastAsia="標楷體" w:hAnsi="標楷體"/>
          <w:b/>
          <w:bCs/>
        </w:rPr>
        <w:t xml:space="preserve">酬金計算方法： </w:t>
      </w:r>
    </w:p>
    <w:p w14:paraId="54A0520F" w14:textId="77777777" w:rsidR="003D0E28" w:rsidRPr="003D0E28" w:rsidRDefault="003D0E28" w:rsidP="003D0E28">
      <w:pPr>
        <w:numPr>
          <w:ilvl w:val="1"/>
          <w:numId w:val="16"/>
        </w:numPr>
        <w:rPr>
          <w:rFonts w:ascii="標楷體" w:eastAsia="標楷體" w:hAnsi="標楷體"/>
          <w:b/>
          <w:bCs/>
        </w:rPr>
      </w:pPr>
      <w:proofErr w:type="gramStart"/>
      <w:r w:rsidRPr="003D0E28">
        <w:rPr>
          <w:rFonts w:ascii="標楷體" w:eastAsia="標楷體" w:hAnsi="標楷體"/>
          <w:b/>
          <w:bCs/>
        </w:rPr>
        <w:t>固定薪</w:t>
      </w:r>
      <w:proofErr w:type="gramEnd"/>
      <w:r w:rsidRPr="003D0E28">
        <w:rPr>
          <w:rFonts w:ascii="標楷體" w:eastAsia="標楷體" w:hAnsi="標楷體"/>
          <w:b/>
          <w:bCs/>
        </w:rPr>
        <w:t>酬：依市場薪資水準、職務責任與績效評估結果，決定基本薪資。</w:t>
      </w:r>
    </w:p>
    <w:p w14:paraId="2578E0AB" w14:textId="77777777" w:rsidR="003D0E28" w:rsidRPr="003D0E28" w:rsidRDefault="003D0E28" w:rsidP="003D0E28">
      <w:pPr>
        <w:numPr>
          <w:ilvl w:val="1"/>
          <w:numId w:val="16"/>
        </w:numPr>
        <w:rPr>
          <w:rFonts w:ascii="標楷體" w:eastAsia="標楷體" w:hAnsi="標楷體"/>
          <w:b/>
          <w:bCs/>
        </w:rPr>
      </w:pPr>
      <w:r w:rsidRPr="003D0E28">
        <w:rPr>
          <w:rFonts w:ascii="標楷體" w:eastAsia="標楷體" w:hAnsi="標楷體"/>
          <w:b/>
          <w:bCs/>
        </w:rPr>
        <w:t xml:space="preserve">變動薪酬（績效獎金）： </w:t>
      </w:r>
    </w:p>
    <w:p w14:paraId="294FC415" w14:textId="77777777" w:rsidR="003D0E28" w:rsidRPr="003D0E28" w:rsidRDefault="003D0E28" w:rsidP="003D0E28">
      <w:pPr>
        <w:numPr>
          <w:ilvl w:val="2"/>
          <w:numId w:val="16"/>
        </w:numPr>
        <w:rPr>
          <w:rFonts w:ascii="標楷體" w:eastAsia="標楷體" w:hAnsi="標楷體"/>
          <w:b/>
          <w:bCs/>
        </w:rPr>
      </w:pPr>
      <w:r w:rsidRPr="003D0E28">
        <w:rPr>
          <w:rFonts w:ascii="標楷體" w:eastAsia="標楷體" w:hAnsi="標楷體"/>
          <w:b/>
          <w:bCs/>
        </w:rPr>
        <w:t>依據公司當年度**營業收入成長率、毛利率、營業利益率、淨利率、股東權益報酬率（ROE）**等財務指標，決定變動薪酬比例。</w:t>
      </w:r>
    </w:p>
    <w:p w14:paraId="742229CD" w14:textId="77777777" w:rsidR="003D0E28" w:rsidRPr="003D0E28" w:rsidRDefault="003D0E28" w:rsidP="003D0E28">
      <w:pPr>
        <w:numPr>
          <w:ilvl w:val="2"/>
          <w:numId w:val="16"/>
        </w:numPr>
        <w:rPr>
          <w:rFonts w:ascii="標楷體" w:eastAsia="標楷體" w:hAnsi="標楷體"/>
          <w:b/>
          <w:bCs/>
        </w:rPr>
      </w:pPr>
      <w:r w:rsidRPr="003D0E28">
        <w:rPr>
          <w:rFonts w:ascii="標楷體" w:eastAsia="標楷體" w:hAnsi="標楷體"/>
          <w:b/>
          <w:bCs/>
        </w:rPr>
        <w:t>依據個人績效評核結果（考量經營決策、營運管理、創新研發、市場拓展、永續發展等）決定績效獎金發放比例。</w:t>
      </w:r>
    </w:p>
    <w:p w14:paraId="5DAA84F2" w14:textId="77777777" w:rsidR="003D0E28" w:rsidRPr="003D0E28" w:rsidRDefault="003D0E28" w:rsidP="003D0E28">
      <w:pPr>
        <w:numPr>
          <w:ilvl w:val="1"/>
          <w:numId w:val="16"/>
        </w:numPr>
        <w:rPr>
          <w:rFonts w:ascii="標楷體" w:eastAsia="標楷體" w:hAnsi="標楷體"/>
          <w:b/>
          <w:bCs/>
        </w:rPr>
      </w:pPr>
      <w:r w:rsidRPr="003D0E28">
        <w:rPr>
          <w:rFonts w:ascii="標楷體" w:eastAsia="標楷體" w:hAnsi="標楷體"/>
          <w:b/>
          <w:bCs/>
        </w:rPr>
        <w:t>員工酬勞：依本公司章程，公司年度如有「獲利」，應</w:t>
      </w:r>
      <w:proofErr w:type="gramStart"/>
      <w:r w:rsidRPr="003D0E28">
        <w:rPr>
          <w:rFonts w:ascii="標楷體" w:eastAsia="標楷體" w:hAnsi="標楷體"/>
          <w:b/>
          <w:bCs/>
        </w:rPr>
        <w:t>提撥</w:t>
      </w:r>
      <w:proofErr w:type="gramEnd"/>
      <w:r w:rsidRPr="003D0E28">
        <w:rPr>
          <w:rFonts w:ascii="標楷體" w:eastAsia="標楷體" w:hAnsi="標楷體"/>
          <w:b/>
          <w:bCs/>
        </w:rPr>
        <w:t>不低於1%作為員工酬勞，並於股東會後發放。</w:t>
      </w:r>
    </w:p>
    <w:p w14:paraId="71BB3245" w14:textId="77777777" w:rsidR="003D0E28" w:rsidRPr="003D0E28" w:rsidRDefault="003D0E28" w:rsidP="003D0E28">
      <w:pPr>
        <w:rPr>
          <w:rFonts w:ascii="標楷體" w:eastAsia="標楷體" w:hAnsi="標楷體"/>
          <w:b/>
          <w:bCs/>
        </w:rPr>
      </w:pPr>
      <w:r w:rsidRPr="003D0E28">
        <w:rPr>
          <w:rFonts w:ascii="標楷體" w:eastAsia="標楷體" w:hAnsi="標楷體"/>
          <w:b/>
          <w:bCs/>
        </w:rPr>
        <w:pict w14:anchorId="46D2CB5C">
          <v:rect id="_x0000_i1104" style="width:0;height:1.5pt" o:hralign="center" o:hrstd="t" o:hr="t" fillcolor="#a0a0a0" stroked="f"/>
        </w:pict>
      </w:r>
    </w:p>
    <w:p w14:paraId="358472A9" w14:textId="77777777" w:rsidR="003D0E28" w:rsidRPr="003D0E28" w:rsidRDefault="003D0E28" w:rsidP="003D0E28">
      <w:pPr>
        <w:rPr>
          <w:rFonts w:ascii="標楷體" w:eastAsia="標楷體" w:hAnsi="標楷體"/>
          <w:b/>
          <w:bCs/>
        </w:rPr>
      </w:pPr>
      <w:r w:rsidRPr="003D0E28">
        <w:rPr>
          <w:rFonts w:ascii="標楷體" w:eastAsia="標楷體" w:hAnsi="標楷體"/>
          <w:b/>
          <w:bCs/>
        </w:rPr>
        <w:lastRenderedPageBreak/>
        <w:t>二、董事及經理人績效評估機制及與酬金之連結</w:t>
      </w:r>
    </w:p>
    <w:p w14:paraId="352F7EF5" w14:textId="77777777" w:rsidR="003D0E28" w:rsidRPr="003D0E28" w:rsidRDefault="003D0E28" w:rsidP="003D0E28">
      <w:pPr>
        <w:rPr>
          <w:rFonts w:ascii="標楷體" w:eastAsia="標楷體" w:hAnsi="標楷體"/>
          <w:b/>
          <w:bCs/>
        </w:rPr>
      </w:pPr>
      <w:r w:rsidRPr="003D0E28">
        <w:rPr>
          <w:rFonts w:ascii="標楷體" w:eastAsia="標楷體" w:hAnsi="標楷體"/>
          <w:b/>
          <w:bCs/>
        </w:rPr>
        <w:t>1. 績效評估機制</w:t>
      </w:r>
      <w:r w:rsidRPr="003D0E28">
        <w:rPr>
          <w:rFonts w:ascii="標楷體" w:eastAsia="標楷體" w:hAnsi="標楷體"/>
          <w:b/>
          <w:bCs/>
        </w:rPr>
        <w:br/>
        <w:t>本公司已建立董事及經理人績效評估制度，並於每年由薪資報酬委員會依據下列量化與質化指標進行評估：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7"/>
        <w:gridCol w:w="5066"/>
        <w:gridCol w:w="1057"/>
      </w:tblGrid>
      <w:tr w:rsidR="003D0E28" w:rsidRPr="003D0E28" w14:paraId="73FA36FF" w14:textId="77777777" w:rsidTr="003D0E28">
        <w:trPr>
          <w:tblHeader/>
          <w:tblCellSpacing w:w="15" w:type="dxa"/>
        </w:trPr>
        <w:tc>
          <w:tcPr>
            <w:tcW w:w="0" w:type="auto"/>
            <w:vAlign w:val="center"/>
            <w:hideMark/>
          </w:tcPr>
          <w:p w14:paraId="7A26545E" w14:textId="77777777" w:rsidR="003D0E28" w:rsidRPr="003D0E28" w:rsidRDefault="003D0E28" w:rsidP="003D0E28">
            <w:pPr>
              <w:rPr>
                <w:rFonts w:ascii="標楷體" w:eastAsia="標楷體" w:hAnsi="標楷體"/>
                <w:b/>
                <w:bCs/>
              </w:rPr>
            </w:pPr>
            <w:r w:rsidRPr="003D0E28">
              <w:rPr>
                <w:rFonts w:ascii="標楷體" w:eastAsia="標楷體" w:hAnsi="標楷體"/>
                <w:b/>
                <w:bCs/>
              </w:rPr>
              <w:t>評估類別</w:t>
            </w:r>
          </w:p>
        </w:tc>
        <w:tc>
          <w:tcPr>
            <w:tcW w:w="0" w:type="auto"/>
            <w:vAlign w:val="center"/>
            <w:hideMark/>
          </w:tcPr>
          <w:p w14:paraId="2B7F9269" w14:textId="77777777" w:rsidR="003D0E28" w:rsidRPr="003D0E28" w:rsidRDefault="003D0E28" w:rsidP="003D0E28">
            <w:pPr>
              <w:rPr>
                <w:rFonts w:ascii="標楷體" w:eastAsia="標楷體" w:hAnsi="標楷體"/>
                <w:b/>
                <w:bCs/>
              </w:rPr>
            </w:pPr>
            <w:r w:rsidRPr="003D0E28">
              <w:rPr>
                <w:rFonts w:ascii="標楷體" w:eastAsia="標楷體" w:hAnsi="標楷體"/>
                <w:b/>
                <w:bCs/>
              </w:rPr>
              <w:t>主要指標</w:t>
            </w:r>
          </w:p>
        </w:tc>
        <w:tc>
          <w:tcPr>
            <w:tcW w:w="0" w:type="auto"/>
            <w:vAlign w:val="center"/>
            <w:hideMark/>
          </w:tcPr>
          <w:p w14:paraId="58208E26" w14:textId="77777777" w:rsidR="003D0E28" w:rsidRPr="003D0E28" w:rsidRDefault="003D0E28" w:rsidP="003D0E28">
            <w:pPr>
              <w:rPr>
                <w:rFonts w:ascii="標楷體" w:eastAsia="標楷體" w:hAnsi="標楷體"/>
                <w:b/>
                <w:bCs/>
              </w:rPr>
            </w:pPr>
            <w:r w:rsidRPr="003D0E28">
              <w:rPr>
                <w:rFonts w:ascii="標楷體" w:eastAsia="標楷體" w:hAnsi="標楷體"/>
                <w:b/>
                <w:bCs/>
              </w:rPr>
              <w:t>權重 (%)</w:t>
            </w:r>
          </w:p>
        </w:tc>
      </w:tr>
      <w:tr w:rsidR="003D0E28" w:rsidRPr="003D0E28" w14:paraId="41895776" w14:textId="77777777" w:rsidTr="003D0E28">
        <w:trPr>
          <w:tblCellSpacing w:w="15" w:type="dxa"/>
        </w:trPr>
        <w:tc>
          <w:tcPr>
            <w:tcW w:w="0" w:type="auto"/>
            <w:vAlign w:val="center"/>
            <w:hideMark/>
          </w:tcPr>
          <w:p w14:paraId="611CC3C1" w14:textId="77777777" w:rsidR="003D0E28" w:rsidRPr="003D0E28" w:rsidRDefault="003D0E28" w:rsidP="003D0E28">
            <w:pPr>
              <w:rPr>
                <w:rFonts w:ascii="標楷體" w:eastAsia="標楷體" w:hAnsi="標楷體"/>
                <w:b/>
                <w:bCs/>
              </w:rPr>
            </w:pPr>
            <w:r w:rsidRPr="003D0E28">
              <w:rPr>
                <w:rFonts w:ascii="標楷體" w:eastAsia="標楷體" w:hAnsi="標楷體"/>
                <w:b/>
                <w:bCs/>
              </w:rPr>
              <w:t>財務績效</w:t>
            </w:r>
          </w:p>
        </w:tc>
        <w:tc>
          <w:tcPr>
            <w:tcW w:w="0" w:type="auto"/>
            <w:vAlign w:val="center"/>
            <w:hideMark/>
          </w:tcPr>
          <w:p w14:paraId="278EAB57" w14:textId="77777777" w:rsidR="003D0E28" w:rsidRPr="003D0E28" w:rsidRDefault="003D0E28" w:rsidP="003D0E28">
            <w:pPr>
              <w:rPr>
                <w:rFonts w:ascii="標楷體" w:eastAsia="標楷體" w:hAnsi="標楷體"/>
                <w:b/>
                <w:bCs/>
              </w:rPr>
            </w:pPr>
            <w:r w:rsidRPr="003D0E28">
              <w:rPr>
                <w:rFonts w:ascii="標楷體" w:eastAsia="標楷體" w:hAnsi="標楷體"/>
                <w:b/>
                <w:bCs/>
              </w:rPr>
              <w:t>營業收入成長率、毛利率、ROE、EPS</w:t>
            </w:r>
          </w:p>
        </w:tc>
        <w:tc>
          <w:tcPr>
            <w:tcW w:w="0" w:type="auto"/>
            <w:vAlign w:val="center"/>
            <w:hideMark/>
          </w:tcPr>
          <w:p w14:paraId="274FF57C" w14:textId="77777777" w:rsidR="003D0E28" w:rsidRPr="003D0E28" w:rsidRDefault="003D0E28" w:rsidP="003D0E28">
            <w:pPr>
              <w:rPr>
                <w:rFonts w:ascii="標楷體" w:eastAsia="標楷體" w:hAnsi="標楷體"/>
                <w:b/>
                <w:bCs/>
              </w:rPr>
            </w:pPr>
            <w:r w:rsidRPr="003D0E28">
              <w:rPr>
                <w:rFonts w:ascii="標楷體" w:eastAsia="標楷體" w:hAnsi="標楷體"/>
                <w:b/>
                <w:bCs/>
              </w:rPr>
              <w:t>40%</w:t>
            </w:r>
          </w:p>
        </w:tc>
      </w:tr>
      <w:tr w:rsidR="003D0E28" w:rsidRPr="003D0E28" w14:paraId="329AB9BB" w14:textId="77777777" w:rsidTr="003D0E28">
        <w:trPr>
          <w:tblCellSpacing w:w="15" w:type="dxa"/>
        </w:trPr>
        <w:tc>
          <w:tcPr>
            <w:tcW w:w="0" w:type="auto"/>
            <w:vAlign w:val="center"/>
            <w:hideMark/>
          </w:tcPr>
          <w:p w14:paraId="4CED134C" w14:textId="77777777" w:rsidR="003D0E28" w:rsidRPr="003D0E28" w:rsidRDefault="003D0E28" w:rsidP="003D0E28">
            <w:pPr>
              <w:rPr>
                <w:rFonts w:ascii="標楷體" w:eastAsia="標楷體" w:hAnsi="標楷體"/>
                <w:b/>
                <w:bCs/>
              </w:rPr>
            </w:pPr>
            <w:r w:rsidRPr="003D0E28">
              <w:rPr>
                <w:rFonts w:ascii="標楷體" w:eastAsia="標楷體" w:hAnsi="標楷體"/>
                <w:b/>
                <w:bCs/>
              </w:rPr>
              <w:t>經營管理</w:t>
            </w:r>
          </w:p>
        </w:tc>
        <w:tc>
          <w:tcPr>
            <w:tcW w:w="0" w:type="auto"/>
            <w:vAlign w:val="center"/>
            <w:hideMark/>
          </w:tcPr>
          <w:p w14:paraId="3E0A24C0" w14:textId="77777777" w:rsidR="003D0E28" w:rsidRPr="003D0E28" w:rsidRDefault="003D0E28" w:rsidP="003D0E28">
            <w:pPr>
              <w:rPr>
                <w:rFonts w:ascii="標楷體" w:eastAsia="標楷體" w:hAnsi="標楷體"/>
                <w:b/>
                <w:bCs/>
              </w:rPr>
            </w:pPr>
            <w:r w:rsidRPr="003D0E28">
              <w:rPr>
                <w:rFonts w:ascii="標楷體" w:eastAsia="標楷體" w:hAnsi="標楷體"/>
                <w:b/>
                <w:bCs/>
              </w:rPr>
              <w:t>營運策略執行力、資本配置效率、內控管理</w:t>
            </w:r>
          </w:p>
        </w:tc>
        <w:tc>
          <w:tcPr>
            <w:tcW w:w="0" w:type="auto"/>
            <w:vAlign w:val="center"/>
            <w:hideMark/>
          </w:tcPr>
          <w:p w14:paraId="2630A0EF" w14:textId="77777777" w:rsidR="003D0E28" w:rsidRPr="003D0E28" w:rsidRDefault="003D0E28" w:rsidP="003D0E28">
            <w:pPr>
              <w:rPr>
                <w:rFonts w:ascii="標楷體" w:eastAsia="標楷體" w:hAnsi="標楷體"/>
                <w:b/>
                <w:bCs/>
              </w:rPr>
            </w:pPr>
            <w:r w:rsidRPr="003D0E28">
              <w:rPr>
                <w:rFonts w:ascii="標楷體" w:eastAsia="標楷體" w:hAnsi="標楷體"/>
                <w:b/>
                <w:bCs/>
              </w:rPr>
              <w:t>20%</w:t>
            </w:r>
          </w:p>
        </w:tc>
      </w:tr>
      <w:tr w:rsidR="003D0E28" w:rsidRPr="003D0E28" w14:paraId="7882E7F6" w14:textId="77777777" w:rsidTr="003D0E28">
        <w:trPr>
          <w:tblCellSpacing w:w="15" w:type="dxa"/>
        </w:trPr>
        <w:tc>
          <w:tcPr>
            <w:tcW w:w="0" w:type="auto"/>
            <w:vAlign w:val="center"/>
            <w:hideMark/>
          </w:tcPr>
          <w:p w14:paraId="74D40AA8" w14:textId="77777777" w:rsidR="003D0E28" w:rsidRPr="003D0E28" w:rsidRDefault="003D0E28" w:rsidP="003D0E28">
            <w:pPr>
              <w:rPr>
                <w:rFonts w:ascii="標楷體" w:eastAsia="標楷體" w:hAnsi="標楷體"/>
                <w:b/>
                <w:bCs/>
              </w:rPr>
            </w:pPr>
            <w:r w:rsidRPr="003D0E28">
              <w:rPr>
                <w:rFonts w:ascii="標楷體" w:eastAsia="標楷體" w:hAnsi="標楷體"/>
                <w:b/>
                <w:bCs/>
              </w:rPr>
              <w:t>技術與研發</w:t>
            </w:r>
          </w:p>
        </w:tc>
        <w:tc>
          <w:tcPr>
            <w:tcW w:w="0" w:type="auto"/>
            <w:vAlign w:val="center"/>
            <w:hideMark/>
          </w:tcPr>
          <w:p w14:paraId="05A9B310" w14:textId="77777777" w:rsidR="003D0E28" w:rsidRPr="003D0E28" w:rsidRDefault="003D0E28" w:rsidP="003D0E28">
            <w:pPr>
              <w:rPr>
                <w:rFonts w:ascii="標楷體" w:eastAsia="標楷體" w:hAnsi="標楷體"/>
                <w:b/>
                <w:bCs/>
              </w:rPr>
            </w:pPr>
            <w:r w:rsidRPr="003D0E28">
              <w:rPr>
                <w:rFonts w:ascii="標楷體" w:eastAsia="標楷體" w:hAnsi="標楷體"/>
                <w:b/>
                <w:bCs/>
              </w:rPr>
              <w:t>產品創新、專利佈局、技術突破</w:t>
            </w:r>
          </w:p>
        </w:tc>
        <w:tc>
          <w:tcPr>
            <w:tcW w:w="0" w:type="auto"/>
            <w:vAlign w:val="center"/>
            <w:hideMark/>
          </w:tcPr>
          <w:p w14:paraId="5A47332B" w14:textId="77777777" w:rsidR="003D0E28" w:rsidRPr="003D0E28" w:rsidRDefault="003D0E28" w:rsidP="003D0E28">
            <w:pPr>
              <w:rPr>
                <w:rFonts w:ascii="標楷體" w:eastAsia="標楷體" w:hAnsi="標楷體"/>
                <w:b/>
                <w:bCs/>
              </w:rPr>
            </w:pPr>
            <w:r w:rsidRPr="003D0E28">
              <w:rPr>
                <w:rFonts w:ascii="標楷體" w:eastAsia="標楷體" w:hAnsi="標楷體"/>
                <w:b/>
                <w:bCs/>
              </w:rPr>
              <w:t>15%</w:t>
            </w:r>
          </w:p>
        </w:tc>
      </w:tr>
      <w:tr w:rsidR="003D0E28" w:rsidRPr="003D0E28" w14:paraId="1C2777D4" w14:textId="77777777" w:rsidTr="003D0E28">
        <w:trPr>
          <w:tblCellSpacing w:w="15" w:type="dxa"/>
        </w:trPr>
        <w:tc>
          <w:tcPr>
            <w:tcW w:w="0" w:type="auto"/>
            <w:vAlign w:val="center"/>
            <w:hideMark/>
          </w:tcPr>
          <w:p w14:paraId="5109C56C" w14:textId="77777777" w:rsidR="003D0E28" w:rsidRPr="003D0E28" w:rsidRDefault="003D0E28" w:rsidP="003D0E28">
            <w:pPr>
              <w:rPr>
                <w:rFonts w:ascii="標楷體" w:eastAsia="標楷體" w:hAnsi="標楷體"/>
                <w:b/>
                <w:bCs/>
              </w:rPr>
            </w:pPr>
            <w:r w:rsidRPr="003D0E28">
              <w:rPr>
                <w:rFonts w:ascii="標楷體" w:eastAsia="標楷體" w:hAnsi="標楷體"/>
                <w:b/>
                <w:bCs/>
              </w:rPr>
              <w:t>市場競爭力</w:t>
            </w:r>
          </w:p>
        </w:tc>
        <w:tc>
          <w:tcPr>
            <w:tcW w:w="0" w:type="auto"/>
            <w:vAlign w:val="center"/>
            <w:hideMark/>
          </w:tcPr>
          <w:p w14:paraId="7EE7A037" w14:textId="77777777" w:rsidR="003D0E28" w:rsidRPr="003D0E28" w:rsidRDefault="003D0E28" w:rsidP="003D0E28">
            <w:pPr>
              <w:rPr>
                <w:rFonts w:ascii="標楷體" w:eastAsia="標楷體" w:hAnsi="標楷體"/>
                <w:b/>
                <w:bCs/>
              </w:rPr>
            </w:pPr>
            <w:r w:rsidRPr="003D0E28">
              <w:rPr>
                <w:rFonts w:ascii="標楷體" w:eastAsia="標楷體" w:hAnsi="標楷體"/>
                <w:b/>
                <w:bCs/>
              </w:rPr>
              <w:t>客戶開發、市場拓展、品牌價值提升</w:t>
            </w:r>
          </w:p>
        </w:tc>
        <w:tc>
          <w:tcPr>
            <w:tcW w:w="0" w:type="auto"/>
            <w:vAlign w:val="center"/>
            <w:hideMark/>
          </w:tcPr>
          <w:p w14:paraId="16FA51F9" w14:textId="77777777" w:rsidR="003D0E28" w:rsidRPr="003D0E28" w:rsidRDefault="003D0E28" w:rsidP="003D0E28">
            <w:pPr>
              <w:rPr>
                <w:rFonts w:ascii="標楷體" w:eastAsia="標楷體" w:hAnsi="標楷體"/>
                <w:b/>
                <w:bCs/>
              </w:rPr>
            </w:pPr>
            <w:r w:rsidRPr="003D0E28">
              <w:rPr>
                <w:rFonts w:ascii="標楷體" w:eastAsia="標楷體" w:hAnsi="標楷體"/>
                <w:b/>
                <w:bCs/>
              </w:rPr>
              <w:t>15%</w:t>
            </w:r>
          </w:p>
        </w:tc>
      </w:tr>
      <w:tr w:rsidR="003D0E28" w:rsidRPr="003D0E28" w14:paraId="5A2510C4" w14:textId="77777777" w:rsidTr="003D0E28">
        <w:trPr>
          <w:tblCellSpacing w:w="15" w:type="dxa"/>
        </w:trPr>
        <w:tc>
          <w:tcPr>
            <w:tcW w:w="0" w:type="auto"/>
            <w:vAlign w:val="center"/>
            <w:hideMark/>
          </w:tcPr>
          <w:p w14:paraId="312CC699" w14:textId="77777777" w:rsidR="003D0E28" w:rsidRPr="003D0E28" w:rsidRDefault="003D0E28" w:rsidP="003D0E28">
            <w:pPr>
              <w:rPr>
                <w:rFonts w:ascii="標楷體" w:eastAsia="標楷體" w:hAnsi="標楷體"/>
                <w:b/>
                <w:bCs/>
              </w:rPr>
            </w:pPr>
            <w:r w:rsidRPr="003D0E28">
              <w:rPr>
                <w:rFonts w:ascii="標楷體" w:eastAsia="標楷體" w:hAnsi="標楷體"/>
                <w:b/>
                <w:bCs/>
              </w:rPr>
              <w:t>永續發展</w:t>
            </w:r>
          </w:p>
        </w:tc>
        <w:tc>
          <w:tcPr>
            <w:tcW w:w="0" w:type="auto"/>
            <w:vAlign w:val="center"/>
            <w:hideMark/>
          </w:tcPr>
          <w:p w14:paraId="1DCBB978" w14:textId="77777777" w:rsidR="003D0E28" w:rsidRPr="003D0E28" w:rsidRDefault="003D0E28" w:rsidP="003D0E28">
            <w:pPr>
              <w:rPr>
                <w:rFonts w:ascii="標楷體" w:eastAsia="標楷體" w:hAnsi="標楷體"/>
                <w:b/>
                <w:bCs/>
              </w:rPr>
            </w:pPr>
            <w:r w:rsidRPr="003D0E28">
              <w:rPr>
                <w:rFonts w:ascii="標楷體" w:eastAsia="標楷體" w:hAnsi="標楷體"/>
                <w:b/>
                <w:bCs/>
              </w:rPr>
              <w:t>ESG指標（減碳績效、綠色供應鏈、員工發展）</w:t>
            </w:r>
          </w:p>
        </w:tc>
        <w:tc>
          <w:tcPr>
            <w:tcW w:w="0" w:type="auto"/>
            <w:vAlign w:val="center"/>
            <w:hideMark/>
          </w:tcPr>
          <w:p w14:paraId="2B96FAED" w14:textId="77777777" w:rsidR="003D0E28" w:rsidRPr="003D0E28" w:rsidRDefault="003D0E28" w:rsidP="003D0E28">
            <w:pPr>
              <w:rPr>
                <w:rFonts w:ascii="標楷體" w:eastAsia="標楷體" w:hAnsi="標楷體"/>
                <w:b/>
                <w:bCs/>
              </w:rPr>
            </w:pPr>
            <w:r w:rsidRPr="003D0E28">
              <w:rPr>
                <w:rFonts w:ascii="標楷體" w:eastAsia="標楷體" w:hAnsi="標楷體"/>
                <w:b/>
                <w:bCs/>
              </w:rPr>
              <w:t>10%</w:t>
            </w:r>
          </w:p>
        </w:tc>
      </w:tr>
    </w:tbl>
    <w:p w14:paraId="5B0111A8" w14:textId="77777777" w:rsidR="003D0E28" w:rsidRPr="003D0E28" w:rsidRDefault="003D0E28" w:rsidP="003D0E28">
      <w:pPr>
        <w:rPr>
          <w:rFonts w:ascii="標楷體" w:eastAsia="標楷體" w:hAnsi="標楷體"/>
          <w:b/>
          <w:bCs/>
        </w:rPr>
      </w:pPr>
      <w:r w:rsidRPr="003D0E28">
        <w:rPr>
          <w:rFonts w:ascii="標楷體" w:eastAsia="標楷體" w:hAnsi="標楷體"/>
          <w:b/>
          <w:bCs/>
        </w:rPr>
        <w:t>2. 與酬金的連結</w:t>
      </w:r>
    </w:p>
    <w:p w14:paraId="530F4DCB" w14:textId="77777777" w:rsidR="003D0E28" w:rsidRPr="003D0E28" w:rsidRDefault="003D0E28" w:rsidP="003D0E28">
      <w:pPr>
        <w:numPr>
          <w:ilvl w:val="0"/>
          <w:numId w:val="17"/>
        </w:numPr>
        <w:rPr>
          <w:rFonts w:ascii="標楷體" w:eastAsia="標楷體" w:hAnsi="標楷體"/>
          <w:b/>
          <w:bCs/>
        </w:rPr>
      </w:pPr>
      <w:proofErr w:type="gramStart"/>
      <w:r w:rsidRPr="003D0E28">
        <w:rPr>
          <w:rFonts w:ascii="標楷體" w:eastAsia="標楷體" w:hAnsi="標楷體"/>
          <w:b/>
          <w:bCs/>
        </w:rPr>
        <w:t>固定薪</w:t>
      </w:r>
      <w:proofErr w:type="gramEnd"/>
      <w:r w:rsidRPr="003D0E28">
        <w:rPr>
          <w:rFonts w:ascii="標楷體" w:eastAsia="標楷體" w:hAnsi="標楷體"/>
          <w:b/>
          <w:bCs/>
        </w:rPr>
        <w:t>酬：依據市場水準與職務責任設定，每年依績效評估結果進行調整。</w:t>
      </w:r>
    </w:p>
    <w:p w14:paraId="0D2856F1" w14:textId="77777777" w:rsidR="003D0E28" w:rsidRPr="003D0E28" w:rsidRDefault="003D0E28" w:rsidP="003D0E28">
      <w:pPr>
        <w:numPr>
          <w:ilvl w:val="0"/>
          <w:numId w:val="17"/>
        </w:numPr>
        <w:rPr>
          <w:rFonts w:ascii="標楷體" w:eastAsia="標楷體" w:hAnsi="標楷體"/>
          <w:b/>
          <w:bCs/>
        </w:rPr>
      </w:pPr>
      <w:r w:rsidRPr="003D0E28">
        <w:rPr>
          <w:rFonts w:ascii="標楷體" w:eastAsia="標楷體" w:hAnsi="標楷體"/>
          <w:b/>
          <w:bCs/>
        </w:rPr>
        <w:t>變動薪酬（績效獎金）：與財務績效、技術創新、市場拓展等指標掛勾，績效表現優異者獎金比例上調，反之則下調或不發放。</w:t>
      </w:r>
    </w:p>
    <w:p w14:paraId="5F9C0822" w14:textId="77777777" w:rsidR="003D0E28" w:rsidRPr="003D0E28" w:rsidRDefault="003D0E28" w:rsidP="003D0E28">
      <w:pPr>
        <w:numPr>
          <w:ilvl w:val="0"/>
          <w:numId w:val="17"/>
        </w:numPr>
        <w:rPr>
          <w:rFonts w:ascii="標楷體" w:eastAsia="標楷體" w:hAnsi="標楷體"/>
          <w:b/>
          <w:bCs/>
        </w:rPr>
      </w:pPr>
      <w:r w:rsidRPr="003D0E28">
        <w:rPr>
          <w:rFonts w:ascii="標楷體" w:eastAsia="標楷體" w:hAnsi="標楷體"/>
          <w:b/>
          <w:bCs/>
        </w:rPr>
        <w:t>長期激勵：針對符合公司發展方向的關鍵績效人員，提供股票選擇權、限制性股票、長期績效獎金，確保核心人才穩定。</w:t>
      </w:r>
    </w:p>
    <w:p w14:paraId="7FF0DD1C" w14:textId="77777777" w:rsidR="003D0E28" w:rsidRPr="003D0E28" w:rsidRDefault="003D0E28" w:rsidP="003D0E28">
      <w:pPr>
        <w:rPr>
          <w:rFonts w:ascii="標楷體" w:eastAsia="標楷體" w:hAnsi="標楷體"/>
          <w:b/>
          <w:bCs/>
        </w:rPr>
      </w:pPr>
      <w:r w:rsidRPr="003D0E28">
        <w:rPr>
          <w:rFonts w:ascii="標楷體" w:eastAsia="標楷體" w:hAnsi="標楷體"/>
          <w:b/>
          <w:bCs/>
        </w:rPr>
        <w:pict w14:anchorId="1FD071D9">
          <v:rect id="_x0000_i1105" style="width:0;height:1.5pt" o:hralign="center" o:hrstd="t" o:hr="t" fillcolor="#a0a0a0" stroked="f"/>
        </w:pict>
      </w:r>
    </w:p>
    <w:p w14:paraId="565F766E" w14:textId="77777777" w:rsidR="003D0E28" w:rsidRPr="003D0E28" w:rsidRDefault="003D0E28" w:rsidP="003D0E28">
      <w:pPr>
        <w:rPr>
          <w:rFonts w:ascii="標楷體" w:eastAsia="標楷體" w:hAnsi="標楷體"/>
          <w:b/>
          <w:bCs/>
        </w:rPr>
      </w:pPr>
      <w:r w:rsidRPr="003D0E28">
        <w:rPr>
          <w:rFonts w:ascii="標楷體" w:eastAsia="標楷體" w:hAnsi="標楷體"/>
          <w:b/>
          <w:bCs/>
        </w:rPr>
        <w:t>三、員工薪資、福利與經營績效之關聯</w:t>
      </w:r>
    </w:p>
    <w:p w14:paraId="274F2C29" w14:textId="77777777" w:rsidR="003D0E28" w:rsidRPr="003D0E28" w:rsidRDefault="003D0E28" w:rsidP="003D0E28">
      <w:pPr>
        <w:rPr>
          <w:rFonts w:ascii="標楷體" w:eastAsia="標楷體" w:hAnsi="標楷體"/>
          <w:b/>
          <w:bCs/>
        </w:rPr>
      </w:pPr>
      <w:r w:rsidRPr="003D0E28">
        <w:rPr>
          <w:rFonts w:ascii="標楷體" w:eastAsia="標楷體" w:hAnsi="標楷體"/>
          <w:b/>
          <w:bCs/>
        </w:rPr>
        <w:t>本公司依據員工學經歷、專業知識、年資經驗及個人績效表現核定薪資，並提供健全的</w:t>
      </w:r>
      <w:proofErr w:type="gramStart"/>
      <w:r w:rsidRPr="003D0E28">
        <w:rPr>
          <w:rFonts w:ascii="標楷體" w:eastAsia="標楷體" w:hAnsi="標楷體"/>
          <w:b/>
          <w:bCs/>
        </w:rPr>
        <w:t>薪酬與福利</w:t>
      </w:r>
      <w:proofErr w:type="gramEnd"/>
      <w:r w:rsidRPr="003D0E28">
        <w:rPr>
          <w:rFonts w:ascii="標楷體" w:eastAsia="標楷體" w:hAnsi="標楷體"/>
          <w:b/>
          <w:bCs/>
        </w:rPr>
        <w:t>制度，以確保人力資本競爭力：</w:t>
      </w:r>
    </w:p>
    <w:p w14:paraId="235DDE56" w14:textId="77777777" w:rsidR="003D0E28" w:rsidRPr="003D0E28" w:rsidRDefault="003D0E28" w:rsidP="003D0E28">
      <w:pPr>
        <w:numPr>
          <w:ilvl w:val="0"/>
          <w:numId w:val="18"/>
        </w:numPr>
        <w:rPr>
          <w:rFonts w:ascii="標楷體" w:eastAsia="標楷體" w:hAnsi="標楷體"/>
          <w:b/>
          <w:bCs/>
        </w:rPr>
      </w:pPr>
      <w:proofErr w:type="gramStart"/>
      <w:r w:rsidRPr="003D0E28">
        <w:rPr>
          <w:rFonts w:ascii="標楷體" w:eastAsia="標楷體" w:hAnsi="標楷體"/>
          <w:b/>
          <w:bCs/>
        </w:rPr>
        <w:t>薪酬與績效</w:t>
      </w:r>
      <w:proofErr w:type="gramEnd"/>
      <w:r w:rsidRPr="003D0E28">
        <w:rPr>
          <w:rFonts w:ascii="標楷體" w:eastAsia="標楷體" w:hAnsi="標楷體"/>
          <w:b/>
          <w:bCs/>
        </w:rPr>
        <w:t>連結</w:t>
      </w:r>
    </w:p>
    <w:p w14:paraId="632760FB" w14:textId="77777777" w:rsidR="003D0E28" w:rsidRPr="003D0E28" w:rsidRDefault="003D0E28" w:rsidP="003D0E28">
      <w:pPr>
        <w:numPr>
          <w:ilvl w:val="1"/>
          <w:numId w:val="18"/>
        </w:numPr>
        <w:rPr>
          <w:rFonts w:ascii="標楷體" w:eastAsia="標楷體" w:hAnsi="標楷體"/>
          <w:b/>
          <w:bCs/>
        </w:rPr>
      </w:pPr>
      <w:r w:rsidRPr="003D0E28">
        <w:rPr>
          <w:rFonts w:ascii="標楷體" w:eastAsia="標楷體" w:hAnsi="標楷體"/>
          <w:b/>
          <w:bCs/>
        </w:rPr>
        <w:t xml:space="preserve">員工薪資及獎金發放方式如下： </w:t>
      </w:r>
    </w:p>
    <w:p w14:paraId="78C071EB" w14:textId="77777777" w:rsidR="003D0E28" w:rsidRPr="003D0E28" w:rsidRDefault="003D0E28" w:rsidP="003D0E28">
      <w:pPr>
        <w:numPr>
          <w:ilvl w:val="2"/>
          <w:numId w:val="18"/>
        </w:numPr>
        <w:rPr>
          <w:rFonts w:ascii="標楷體" w:eastAsia="標楷體" w:hAnsi="標楷體"/>
          <w:b/>
          <w:bCs/>
        </w:rPr>
      </w:pPr>
      <w:r w:rsidRPr="003D0E28">
        <w:rPr>
          <w:rFonts w:ascii="標楷體" w:eastAsia="標楷體" w:hAnsi="標楷體"/>
          <w:b/>
          <w:bCs/>
        </w:rPr>
        <w:t>年終獎金：依據公司年度營運獲利狀況發放，激勵員工持續貢獻。</w:t>
      </w:r>
    </w:p>
    <w:p w14:paraId="09DF446D" w14:textId="77777777" w:rsidR="003D0E28" w:rsidRPr="003D0E28" w:rsidRDefault="003D0E28" w:rsidP="003D0E28">
      <w:pPr>
        <w:numPr>
          <w:ilvl w:val="2"/>
          <w:numId w:val="18"/>
        </w:numPr>
        <w:rPr>
          <w:rFonts w:ascii="標楷體" w:eastAsia="標楷體" w:hAnsi="標楷體"/>
          <w:b/>
          <w:bCs/>
        </w:rPr>
      </w:pPr>
      <w:r w:rsidRPr="003D0E28">
        <w:rPr>
          <w:rFonts w:ascii="標楷體" w:eastAsia="標楷體" w:hAnsi="標楷體"/>
          <w:b/>
          <w:bCs/>
        </w:rPr>
        <w:t>各項績效獎金：依據個人年度考核結果發放，考核指標包括工作績效、創新貢獻、團隊協作、ESG表現等。</w:t>
      </w:r>
    </w:p>
    <w:p w14:paraId="5550CD68" w14:textId="77777777" w:rsidR="003D0E28" w:rsidRPr="003D0E28" w:rsidRDefault="003D0E28" w:rsidP="003D0E28">
      <w:pPr>
        <w:numPr>
          <w:ilvl w:val="2"/>
          <w:numId w:val="18"/>
        </w:numPr>
        <w:rPr>
          <w:rFonts w:ascii="標楷體" w:eastAsia="標楷體" w:hAnsi="標楷體"/>
          <w:b/>
          <w:bCs/>
        </w:rPr>
      </w:pPr>
      <w:r w:rsidRPr="003D0E28">
        <w:rPr>
          <w:rFonts w:ascii="標楷體" w:eastAsia="標楷體" w:hAnsi="標楷體"/>
          <w:b/>
          <w:bCs/>
        </w:rPr>
        <w:t>員工分紅：根據公司營運成果，每年</w:t>
      </w:r>
      <w:proofErr w:type="gramStart"/>
      <w:r w:rsidRPr="003D0E28">
        <w:rPr>
          <w:rFonts w:ascii="標楷體" w:eastAsia="標楷體" w:hAnsi="標楷體"/>
          <w:b/>
          <w:bCs/>
        </w:rPr>
        <w:t>提撥</w:t>
      </w:r>
      <w:proofErr w:type="gramEnd"/>
      <w:r w:rsidRPr="003D0E28">
        <w:rPr>
          <w:rFonts w:ascii="標楷體" w:eastAsia="標楷體" w:hAnsi="標楷體"/>
          <w:b/>
          <w:bCs/>
        </w:rPr>
        <w:t>獲利不低於1%作為員工酬勞。</w:t>
      </w:r>
    </w:p>
    <w:p w14:paraId="17E4F762" w14:textId="77777777" w:rsidR="003D0E28" w:rsidRPr="003D0E28" w:rsidRDefault="003D0E28" w:rsidP="003D0E28">
      <w:pPr>
        <w:numPr>
          <w:ilvl w:val="0"/>
          <w:numId w:val="18"/>
        </w:numPr>
        <w:rPr>
          <w:rFonts w:ascii="標楷體" w:eastAsia="標楷體" w:hAnsi="標楷體"/>
          <w:b/>
          <w:bCs/>
        </w:rPr>
      </w:pPr>
      <w:r w:rsidRPr="003D0E28">
        <w:rPr>
          <w:rFonts w:ascii="標楷體" w:eastAsia="標楷體" w:hAnsi="標楷體"/>
          <w:b/>
          <w:bCs/>
        </w:rPr>
        <w:t>福利措施</w:t>
      </w:r>
    </w:p>
    <w:p w14:paraId="45F333F5" w14:textId="77777777" w:rsidR="003D0E28" w:rsidRPr="003D0E28" w:rsidRDefault="003D0E28" w:rsidP="003D0E28">
      <w:pPr>
        <w:numPr>
          <w:ilvl w:val="1"/>
          <w:numId w:val="18"/>
        </w:numPr>
        <w:rPr>
          <w:rFonts w:ascii="標楷體" w:eastAsia="標楷體" w:hAnsi="標楷體"/>
          <w:b/>
          <w:bCs/>
        </w:rPr>
      </w:pPr>
      <w:r w:rsidRPr="003D0E28">
        <w:rPr>
          <w:rFonts w:ascii="標楷體" w:eastAsia="標楷體" w:hAnsi="標楷體"/>
          <w:b/>
          <w:bCs/>
        </w:rPr>
        <w:t>薪酬、津貼與補助：績效獎金、年終獎金、節慶禮金（勞動節、中秋節、端午節）、員工旅遊等。</w:t>
      </w:r>
    </w:p>
    <w:p w14:paraId="1E1D112D" w14:textId="77777777" w:rsidR="003D0E28" w:rsidRPr="003D0E28" w:rsidRDefault="003D0E28" w:rsidP="003D0E28">
      <w:pPr>
        <w:numPr>
          <w:ilvl w:val="1"/>
          <w:numId w:val="18"/>
        </w:numPr>
        <w:rPr>
          <w:rFonts w:ascii="標楷體" w:eastAsia="標楷體" w:hAnsi="標楷體"/>
          <w:b/>
          <w:bCs/>
        </w:rPr>
      </w:pPr>
      <w:r w:rsidRPr="003D0E28">
        <w:rPr>
          <w:rFonts w:ascii="標楷體" w:eastAsia="標楷體" w:hAnsi="標楷體"/>
          <w:b/>
          <w:bCs/>
        </w:rPr>
        <w:t>休假制度：依勞動基準法、勞工請假規則、性別工作平等法提供彈性休假。</w:t>
      </w:r>
    </w:p>
    <w:p w14:paraId="5C28B6A6" w14:textId="77777777" w:rsidR="003D0E28" w:rsidRPr="003D0E28" w:rsidRDefault="003D0E28" w:rsidP="003D0E28">
      <w:pPr>
        <w:numPr>
          <w:ilvl w:val="0"/>
          <w:numId w:val="18"/>
        </w:numPr>
        <w:rPr>
          <w:rFonts w:ascii="標楷體" w:eastAsia="標楷體" w:hAnsi="標楷體"/>
          <w:b/>
          <w:bCs/>
        </w:rPr>
      </w:pPr>
      <w:r w:rsidRPr="003D0E28">
        <w:rPr>
          <w:rFonts w:ascii="標楷體" w:eastAsia="標楷體" w:hAnsi="標楷體"/>
          <w:b/>
          <w:bCs/>
        </w:rPr>
        <w:t>性別與多元平等</w:t>
      </w:r>
    </w:p>
    <w:p w14:paraId="20F3ED33" w14:textId="77777777" w:rsidR="003D0E28" w:rsidRPr="003D0E28" w:rsidRDefault="003D0E28" w:rsidP="003D0E28">
      <w:pPr>
        <w:numPr>
          <w:ilvl w:val="1"/>
          <w:numId w:val="18"/>
        </w:numPr>
        <w:rPr>
          <w:rFonts w:ascii="標楷體" w:eastAsia="標楷體" w:hAnsi="標楷體"/>
          <w:b/>
          <w:bCs/>
        </w:rPr>
      </w:pPr>
      <w:r w:rsidRPr="003D0E28">
        <w:rPr>
          <w:rFonts w:ascii="標楷體" w:eastAsia="標楷體" w:hAnsi="標楷體"/>
          <w:b/>
          <w:bCs/>
        </w:rPr>
        <w:t>截至2023年底，本公司女性員工占比39.27%，管理階層中女性主管占比13.33%，持續提升性別平等與人才多元性。</w:t>
      </w:r>
    </w:p>
    <w:p w14:paraId="48DF90C6" w14:textId="77777777" w:rsidR="003D0E28" w:rsidRPr="003D0E28" w:rsidRDefault="003D0E28" w:rsidP="003D0E28">
      <w:pPr>
        <w:rPr>
          <w:rFonts w:ascii="標楷體" w:eastAsia="標楷體" w:hAnsi="標楷體"/>
          <w:b/>
          <w:bCs/>
        </w:rPr>
      </w:pPr>
      <w:r w:rsidRPr="003D0E28">
        <w:rPr>
          <w:rFonts w:ascii="標楷體" w:eastAsia="標楷體" w:hAnsi="標楷體"/>
          <w:b/>
          <w:bCs/>
        </w:rPr>
        <w:lastRenderedPageBreak/>
        <w:pict w14:anchorId="1AAC5B1D">
          <v:rect id="_x0000_i1106" style="width:0;height:1.5pt" o:hralign="center" o:hrstd="t" o:hr="t" fillcolor="#a0a0a0" stroked="f"/>
        </w:pict>
      </w:r>
    </w:p>
    <w:p w14:paraId="43C1CE33" w14:textId="77777777" w:rsidR="003D0E28" w:rsidRPr="003D0E28" w:rsidRDefault="003D0E28" w:rsidP="003D0E28">
      <w:pPr>
        <w:rPr>
          <w:rFonts w:ascii="標楷體" w:eastAsia="標楷體" w:hAnsi="標楷體"/>
          <w:b/>
          <w:bCs/>
        </w:rPr>
      </w:pPr>
      <w:r w:rsidRPr="003D0E28">
        <w:rPr>
          <w:rFonts w:ascii="標楷體" w:eastAsia="標楷體" w:hAnsi="標楷體"/>
          <w:b/>
          <w:bCs/>
        </w:rPr>
        <w:t>四、補強年報揭露內容</w:t>
      </w:r>
    </w:p>
    <w:p w14:paraId="7D10654C" w14:textId="77777777" w:rsidR="003D0E28" w:rsidRPr="003D0E28" w:rsidRDefault="003D0E28" w:rsidP="003D0E28">
      <w:pPr>
        <w:rPr>
          <w:rFonts w:ascii="標楷體" w:eastAsia="標楷體" w:hAnsi="標楷體"/>
          <w:b/>
          <w:bCs/>
        </w:rPr>
      </w:pPr>
      <w:r w:rsidRPr="003D0E28">
        <w:rPr>
          <w:rFonts w:ascii="標楷體" w:eastAsia="標楷體" w:hAnsi="標楷體"/>
          <w:b/>
          <w:bCs/>
        </w:rPr>
        <w:t>為符合主管機關規範，本公司將於年報中新增以下內容：</w:t>
      </w:r>
    </w:p>
    <w:p w14:paraId="790B0E97" w14:textId="77777777" w:rsidR="003D0E28" w:rsidRPr="003D0E28" w:rsidRDefault="003D0E28" w:rsidP="003D0E28">
      <w:pPr>
        <w:numPr>
          <w:ilvl w:val="0"/>
          <w:numId w:val="19"/>
        </w:numPr>
        <w:rPr>
          <w:rFonts w:ascii="標楷體" w:eastAsia="標楷體" w:hAnsi="標楷體"/>
          <w:b/>
          <w:bCs/>
        </w:rPr>
      </w:pPr>
      <w:r w:rsidRPr="003D0E28">
        <w:rPr>
          <w:rFonts w:ascii="標楷體" w:eastAsia="標楷體" w:hAnsi="標楷體"/>
          <w:b/>
          <w:bCs/>
        </w:rPr>
        <w:t>章程中董事及經理人酬金給付原則與計算方法（含固定薪酬與變動薪酬機制）</w:t>
      </w:r>
    </w:p>
    <w:p w14:paraId="383BABF8" w14:textId="77777777" w:rsidR="003D0E28" w:rsidRPr="003D0E28" w:rsidRDefault="003D0E28" w:rsidP="003D0E28">
      <w:pPr>
        <w:numPr>
          <w:ilvl w:val="0"/>
          <w:numId w:val="19"/>
        </w:numPr>
        <w:rPr>
          <w:rFonts w:ascii="標楷體" w:eastAsia="標楷體" w:hAnsi="標楷體"/>
          <w:b/>
          <w:bCs/>
        </w:rPr>
      </w:pPr>
      <w:r w:rsidRPr="003D0E28">
        <w:rPr>
          <w:rFonts w:ascii="標楷體" w:eastAsia="標楷體" w:hAnsi="標楷體"/>
          <w:b/>
          <w:bCs/>
        </w:rPr>
        <w:t>薪資報酬委員會對董事及經理人績效評估機制與標準（不得僅以「個人表現/績效/貢獻」籠統描述，需列舉具體考核指標）</w:t>
      </w:r>
    </w:p>
    <w:p w14:paraId="64411F56" w14:textId="77777777" w:rsidR="003D0E28" w:rsidRPr="003D0E28" w:rsidRDefault="003D0E28" w:rsidP="003D0E28">
      <w:pPr>
        <w:numPr>
          <w:ilvl w:val="0"/>
          <w:numId w:val="19"/>
        </w:numPr>
        <w:rPr>
          <w:rFonts w:ascii="標楷體" w:eastAsia="標楷體" w:hAnsi="標楷體"/>
          <w:b/>
          <w:bCs/>
        </w:rPr>
      </w:pPr>
      <w:r w:rsidRPr="003D0E28">
        <w:rPr>
          <w:rFonts w:ascii="標楷體" w:eastAsia="標楷體" w:hAnsi="標楷體"/>
          <w:b/>
          <w:bCs/>
        </w:rPr>
        <w:t>董事及經理人薪資、績效獎金及長期激勵機制與績效評估的具體連結</w:t>
      </w:r>
    </w:p>
    <w:p w14:paraId="315C02B4" w14:textId="77777777" w:rsidR="003D0E28" w:rsidRPr="003D0E28" w:rsidRDefault="003D0E28" w:rsidP="003D0E28">
      <w:pPr>
        <w:numPr>
          <w:ilvl w:val="0"/>
          <w:numId w:val="19"/>
        </w:numPr>
        <w:rPr>
          <w:rFonts w:ascii="標楷體" w:eastAsia="標楷體" w:hAnsi="標楷體"/>
          <w:b/>
          <w:bCs/>
        </w:rPr>
      </w:pPr>
      <w:r w:rsidRPr="003D0E28">
        <w:rPr>
          <w:rFonts w:ascii="標楷體" w:eastAsia="標楷體" w:hAnsi="標楷體"/>
          <w:b/>
          <w:bCs/>
        </w:rPr>
        <w:t>經營績效如何反映於員工薪酬，包括年終獎金、績效獎金、員工分紅等</w:t>
      </w:r>
    </w:p>
    <w:p w14:paraId="31E092C7" w14:textId="77777777" w:rsidR="003D0E28" w:rsidRPr="003D0E28" w:rsidRDefault="003D0E28" w:rsidP="003D0E28">
      <w:pPr>
        <w:rPr>
          <w:rFonts w:ascii="標楷體" w:eastAsia="標楷體" w:hAnsi="標楷體"/>
          <w:b/>
          <w:bCs/>
        </w:rPr>
      </w:pPr>
      <w:r w:rsidRPr="003D0E28">
        <w:rPr>
          <w:rFonts w:ascii="標楷體" w:eastAsia="標楷體" w:hAnsi="標楷體"/>
          <w:b/>
          <w:bCs/>
        </w:rPr>
        <w:pict w14:anchorId="613033BC">
          <v:rect id="_x0000_i1107" style="width:0;height:1.5pt" o:hralign="center" o:hrstd="t" o:hr="t" fillcolor="#a0a0a0" stroked="f"/>
        </w:pict>
      </w:r>
    </w:p>
    <w:p w14:paraId="0F6B988A" w14:textId="77777777" w:rsidR="003D0E28" w:rsidRPr="003D0E28" w:rsidRDefault="003D0E28" w:rsidP="003D0E28">
      <w:pPr>
        <w:rPr>
          <w:rFonts w:ascii="標楷體" w:eastAsia="標楷體" w:hAnsi="標楷體"/>
          <w:b/>
          <w:bCs/>
        </w:rPr>
      </w:pPr>
      <w:r w:rsidRPr="003D0E28">
        <w:rPr>
          <w:rFonts w:ascii="標楷體" w:eastAsia="標楷體" w:hAnsi="標楷體"/>
          <w:b/>
          <w:bCs/>
        </w:rPr>
        <w:t>五、結論與申訴意見</w:t>
      </w:r>
    </w:p>
    <w:p w14:paraId="2DC79B1C" w14:textId="77777777" w:rsidR="003D0E28" w:rsidRPr="003D0E28" w:rsidRDefault="003D0E28" w:rsidP="003D0E28">
      <w:pPr>
        <w:rPr>
          <w:rFonts w:ascii="標楷體" w:eastAsia="標楷體" w:hAnsi="標楷體"/>
          <w:b/>
          <w:bCs/>
        </w:rPr>
      </w:pPr>
      <w:r w:rsidRPr="003D0E28">
        <w:rPr>
          <w:rFonts w:ascii="標楷體" w:eastAsia="標楷體" w:hAnsi="標楷體"/>
          <w:b/>
          <w:bCs/>
        </w:rPr>
        <w:t>本公司已具備完善的薪酬管理制度，薪資報酬委員會依市場水準、職責貢獻及績效評估結果決定董事及經理人薪酬，並與經營績效充分連結。</w:t>
      </w:r>
      <w:proofErr w:type="gramStart"/>
      <w:r w:rsidRPr="003D0E28">
        <w:rPr>
          <w:rFonts w:ascii="標楷體" w:eastAsia="標楷體" w:hAnsi="標楷體"/>
          <w:b/>
          <w:bCs/>
        </w:rPr>
        <w:t>此外，</w:t>
      </w:r>
      <w:proofErr w:type="gramEnd"/>
      <w:r w:rsidRPr="003D0E28">
        <w:rPr>
          <w:rFonts w:ascii="標楷體" w:eastAsia="標楷體" w:hAnsi="標楷體"/>
          <w:b/>
          <w:bCs/>
        </w:rPr>
        <w:t>本公司已依公司章程</w:t>
      </w:r>
      <w:proofErr w:type="gramStart"/>
      <w:r w:rsidRPr="003D0E28">
        <w:rPr>
          <w:rFonts w:ascii="標楷體" w:eastAsia="標楷體" w:hAnsi="標楷體"/>
          <w:b/>
          <w:bCs/>
        </w:rPr>
        <w:t>提撥</w:t>
      </w:r>
      <w:proofErr w:type="gramEnd"/>
      <w:r w:rsidRPr="003D0E28">
        <w:rPr>
          <w:rFonts w:ascii="標楷體" w:eastAsia="標楷體" w:hAnsi="標楷體"/>
          <w:b/>
          <w:bCs/>
        </w:rPr>
        <w:t>獲利不低於1%作為員工酬勞，確保經營成果回饋員工。本次年報內容將補強揭露具體評估指標與薪資政策，以符合主管機關要求，展現資訊透明度與公司治理承諾。</w:t>
      </w:r>
    </w:p>
    <w:p w14:paraId="2C8AE2CE" w14:textId="77777777" w:rsidR="00FA33FC" w:rsidRPr="002357F2" w:rsidRDefault="00FA33FC" w:rsidP="00FA33FC">
      <w:pPr>
        <w:pStyle w:val="a9"/>
        <w:numPr>
          <w:ilvl w:val="0"/>
          <w:numId w:val="10"/>
        </w:numPr>
        <w:contextualSpacing w:val="0"/>
        <w:rPr>
          <w:rFonts w:ascii="標楷體" w:eastAsia="標楷體" w:hAnsi="標楷體"/>
          <w:color w:val="FF0000"/>
          <w:szCs w:val="24"/>
        </w:rPr>
      </w:pPr>
      <w:r w:rsidRPr="002357F2">
        <w:rPr>
          <w:rFonts w:ascii="標楷體" w:eastAsia="標楷體" w:hAnsi="標楷體" w:hint="eastAsia"/>
          <w:color w:val="FF0000"/>
          <w:szCs w:val="24"/>
        </w:rPr>
        <w:t>年報P18-21與P40-41</w:t>
      </w:r>
    </w:p>
    <w:tbl>
      <w:tblPr>
        <w:tblStyle w:val="af"/>
        <w:tblW w:w="0" w:type="auto"/>
        <w:tblLook w:val="04A0" w:firstRow="1" w:lastRow="0" w:firstColumn="1" w:lastColumn="0" w:noHBand="0" w:noVBand="1"/>
      </w:tblPr>
      <w:tblGrid>
        <w:gridCol w:w="988"/>
        <w:gridCol w:w="4932"/>
        <w:gridCol w:w="2376"/>
      </w:tblGrid>
      <w:tr w:rsidR="00FA33FC" w:rsidRPr="002357F2" w14:paraId="562149D3" w14:textId="77777777" w:rsidTr="0029706B">
        <w:tc>
          <w:tcPr>
            <w:tcW w:w="988" w:type="dxa"/>
          </w:tcPr>
          <w:p w14:paraId="672BBE4B" w14:textId="77777777" w:rsidR="00FA33FC" w:rsidRPr="002357F2" w:rsidRDefault="00FA33FC" w:rsidP="0029706B">
            <w:pPr>
              <w:rPr>
                <w:rFonts w:ascii="標楷體" w:eastAsia="標楷體" w:hAnsi="標楷體"/>
              </w:rPr>
            </w:pPr>
            <w:r w:rsidRPr="002357F2">
              <w:rPr>
                <w:rFonts w:ascii="標楷體" w:eastAsia="標楷體" w:hAnsi="標楷體"/>
              </w:rPr>
              <w:t>編號</w:t>
            </w:r>
          </w:p>
        </w:tc>
        <w:tc>
          <w:tcPr>
            <w:tcW w:w="4932" w:type="dxa"/>
          </w:tcPr>
          <w:p w14:paraId="14302BB3" w14:textId="77777777" w:rsidR="00FA33FC" w:rsidRPr="002357F2" w:rsidRDefault="00FA33FC" w:rsidP="0029706B">
            <w:pPr>
              <w:jc w:val="center"/>
              <w:rPr>
                <w:rFonts w:ascii="標楷體" w:eastAsia="標楷體" w:hAnsi="標楷體"/>
              </w:rPr>
            </w:pPr>
            <w:r w:rsidRPr="002357F2">
              <w:rPr>
                <w:rFonts w:ascii="標楷體" w:eastAsia="標楷體" w:hAnsi="標楷體"/>
              </w:rPr>
              <w:t>評鑑指標</w:t>
            </w:r>
          </w:p>
        </w:tc>
        <w:tc>
          <w:tcPr>
            <w:tcW w:w="2376" w:type="dxa"/>
          </w:tcPr>
          <w:p w14:paraId="17092D73" w14:textId="77777777" w:rsidR="00FA33FC" w:rsidRPr="002357F2" w:rsidRDefault="00FA33FC" w:rsidP="0029706B">
            <w:pPr>
              <w:jc w:val="center"/>
              <w:rPr>
                <w:rFonts w:ascii="標楷體" w:eastAsia="標楷體" w:hAnsi="標楷體"/>
              </w:rPr>
            </w:pPr>
            <w:r w:rsidRPr="002357F2">
              <w:rPr>
                <w:rFonts w:ascii="標楷體" w:eastAsia="標楷體" w:hAnsi="標楷體"/>
              </w:rPr>
              <w:t>資訊依據</w:t>
            </w:r>
          </w:p>
        </w:tc>
      </w:tr>
      <w:tr w:rsidR="00FA33FC" w:rsidRPr="002357F2" w14:paraId="21641D84" w14:textId="77777777" w:rsidTr="0029706B">
        <w:tc>
          <w:tcPr>
            <w:tcW w:w="988" w:type="dxa"/>
          </w:tcPr>
          <w:p w14:paraId="561A1491" w14:textId="77777777" w:rsidR="00FA33FC" w:rsidRPr="002357F2" w:rsidRDefault="00FA33FC" w:rsidP="0029706B">
            <w:pPr>
              <w:rPr>
                <w:rFonts w:ascii="標楷體" w:eastAsia="標楷體" w:hAnsi="標楷體"/>
              </w:rPr>
            </w:pPr>
            <w:r w:rsidRPr="002357F2">
              <w:rPr>
                <w:rFonts w:ascii="標楷體" w:eastAsia="標楷體" w:hAnsi="標楷體"/>
              </w:rPr>
              <w:t>3.</w:t>
            </w:r>
            <w:r w:rsidRPr="002357F2">
              <w:rPr>
                <w:rFonts w:ascii="標楷體" w:eastAsia="標楷體" w:hAnsi="標楷體" w:hint="eastAsia"/>
              </w:rPr>
              <w:t>!</w:t>
            </w:r>
            <w:r w:rsidRPr="002357F2">
              <w:rPr>
                <w:rFonts w:ascii="標楷體" w:eastAsia="標楷體" w:hAnsi="標楷體"/>
              </w:rPr>
              <w:t>4</w:t>
            </w:r>
          </w:p>
        </w:tc>
        <w:tc>
          <w:tcPr>
            <w:tcW w:w="4932" w:type="dxa"/>
          </w:tcPr>
          <w:p w14:paraId="4193F49D" w14:textId="77777777" w:rsidR="00FA33FC" w:rsidRPr="002357F2" w:rsidRDefault="00FA33FC" w:rsidP="0029706B">
            <w:pPr>
              <w:rPr>
                <w:rFonts w:ascii="標楷體" w:eastAsia="標楷體" w:hAnsi="標楷體"/>
              </w:rPr>
            </w:pPr>
            <w:r w:rsidRPr="002357F2">
              <w:rPr>
                <w:rFonts w:ascii="標楷體" w:eastAsia="標楷體" w:hAnsi="標楷體" w:hint="eastAsia"/>
                <w:szCs w:val="24"/>
              </w:rPr>
              <w:t>公司年報是否揭露董事及經理人績效評估與酬金之連結</w:t>
            </w:r>
            <w:r w:rsidRPr="002357F2">
              <w:rPr>
                <w:rFonts w:ascii="標楷體" w:eastAsia="標楷體" w:hAnsi="標楷體" w:cs="Times New Roman"/>
                <w:szCs w:val="24"/>
              </w:rPr>
              <w:t>?</w:t>
            </w:r>
          </w:p>
        </w:tc>
        <w:tc>
          <w:tcPr>
            <w:tcW w:w="2376" w:type="dxa"/>
          </w:tcPr>
          <w:p w14:paraId="641C0120" w14:textId="77777777" w:rsidR="00FA33FC" w:rsidRPr="002357F2" w:rsidRDefault="00FA33FC" w:rsidP="0029706B">
            <w:pPr>
              <w:rPr>
                <w:rFonts w:ascii="標楷體" w:eastAsia="標楷體" w:hAnsi="標楷體"/>
              </w:rPr>
            </w:pPr>
            <w:r w:rsidRPr="002357F2">
              <w:rPr>
                <w:rFonts w:ascii="標楷體" w:eastAsia="標楷體" w:hAnsi="標楷體" w:hint="eastAsia"/>
              </w:rPr>
              <w:t>年報</w:t>
            </w:r>
          </w:p>
        </w:tc>
      </w:tr>
    </w:tbl>
    <w:p w14:paraId="30EB85D6" w14:textId="5D9644C1" w:rsidR="003E37E9" w:rsidRPr="0040670F" w:rsidRDefault="003E37E9" w:rsidP="003D0E28"/>
    <w:sectPr w:rsidR="003E37E9" w:rsidRPr="0040670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752E" w14:textId="77777777" w:rsidR="00124FF1" w:rsidRDefault="00124FF1" w:rsidP="0008602B">
      <w:r>
        <w:separator/>
      </w:r>
    </w:p>
  </w:endnote>
  <w:endnote w:type="continuationSeparator" w:id="0">
    <w:p w14:paraId="07F4E99D" w14:textId="77777777" w:rsidR="00124FF1" w:rsidRDefault="00124FF1" w:rsidP="0008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51567"/>
      <w:docPartObj>
        <w:docPartGallery w:val="Page Numbers (Bottom of Page)"/>
        <w:docPartUnique/>
      </w:docPartObj>
    </w:sdtPr>
    <w:sdtContent>
      <w:p w14:paraId="08200E24" w14:textId="2851ABE2" w:rsidR="0008602B" w:rsidRDefault="0008602B">
        <w:pPr>
          <w:pStyle w:val="af4"/>
          <w:jc w:val="center"/>
        </w:pPr>
        <w:r>
          <w:fldChar w:fldCharType="begin"/>
        </w:r>
        <w:r>
          <w:instrText>PAGE   \* MERGEFORMAT</w:instrText>
        </w:r>
        <w:r>
          <w:fldChar w:fldCharType="separate"/>
        </w:r>
        <w:r>
          <w:rPr>
            <w:lang w:val="zh-TW"/>
          </w:rPr>
          <w:t>2</w:t>
        </w:r>
        <w:r>
          <w:fldChar w:fldCharType="end"/>
        </w:r>
      </w:p>
    </w:sdtContent>
  </w:sdt>
  <w:p w14:paraId="5D6A179D" w14:textId="77777777" w:rsidR="0008602B" w:rsidRDefault="0008602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FD72E" w14:textId="77777777" w:rsidR="00124FF1" w:rsidRDefault="00124FF1" w:rsidP="0008602B">
      <w:r>
        <w:separator/>
      </w:r>
    </w:p>
  </w:footnote>
  <w:footnote w:type="continuationSeparator" w:id="0">
    <w:p w14:paraId="774DF876" w14:textId="77777777" w:rsidR="00124FF1" w:rsidRDefault="00124FF1" w:rsidP="0008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A99"/>
    <w:multiLevelType w:val="multilevel"/>
    <w:tmpl w:val="49B0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B0938"/>
    <w:multiLevelType w:val="multilevel"/>
    <w:tmpl w:val="D22A3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1466C"/>
    <w:multiLevelType w:val="multilevel"/>
    <w:tmpl w:val="9BD49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76AF9"/>
    <w:multiLevelType w:val="multilevel"/>
    <w:tmpl w:val="5838D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84319"/>
    <w:multiLevelType w:val="multilevel"/>
    <w:tmpl w:val="D5FA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A1C93"/>
    <w:multiLevelType w:val="multilevel"/>
    <w:tmpl w:val="BA76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D1C91"/>
    <w:multiLevelType w:val="multilevel"/>
    <w:tmpl w:val="14D8E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B3D19"/>
    <w:multiLevelType w:val="multilevel"/>
    <w:tmpl w:val="2CEC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44468"/>
    <w:multiLevelType w:val="hybridMultilevel"/>
    <w:tmpl w:val="D68EBD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E77785"/>
    <w:multiLevelType w:val="hybridMultilevel"/>
    <w:tmpl w:val="D12C08E6"/>
    <w:lvl w:ilvl="0" w:tplc="81F4EF32">
      <w:start w:val="19"/>
      <w:numFmt w:val="decimal"/>
      <w:lvlText w:val="%1."/>
      <w:lvlJc w:val="left"/>
      <w:pPr>
        <w:ind w:left="360" w:hanging="36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AC6D71"/>
    <w:multiLevelType w:val="multilevel"/>
    <w:tmpl w:val="8FF8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901E2"/>
    <w:multiLevelType w:val="multilevel"/>
    <w:tmpl w:val="CAD6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8D3B9A"/>
    <w:multiLevelType w:val="hybridMultilevel"/>
    <w:tmpl w:val="96689246"/>
    <w:lvl w:ilvl="0" w:tplc="194A6B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DB0354"/>
    <w:multiLevelType w:val="hybridMultilevel"/>
    <w:tmpl w:val="94B2EC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5DD4F65"/>
    <w:multiLevelType w:val="multilevel"/>
    <w:tmpl w:val="3BA6A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3A6419"/>
    <w:multiLevelType w:val="hybridMultilevel"/>
    <w:tmpl w:val="18A00D92"/>
    <w:lvl w:ilvl="0" w:tplc="584EFB52">
      <w:start w:val="1"/>
      <w:numFmt w:val="decimal"/>
      <w:lvlText w:val="%1."/>
      <w:lvlJc w:val="left"/>
      <w:pPr>
        <w:ind w:left="360" w:hanging="36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795109"/>
    <w:multiLevelType w:val="hybridMultilevel"/>
    <w:tmpl w:val="A748E1B2"/>
    <w:lvl w:ilvl="0" w:tplc="57A4C4D2">
      <w:start w:val="15"/>
      <w:numFmt w:val="decimal"/>
      <w:lvlText w:val="%1."/>
      <w:lvlJc w:val="left"/>
      <w:pPr>
        <w:ind w:left="480" w:hanging="480"/>
      </w:pPr>
      <w:rPr>
        <w:rFonts w:hint="eastAsia"/>
      </w:rPr>
    </w:lvl>
    <w:lvl w:ilvl="1" w:tplc="04090019" w:tentative="1">
      <w:start w:val="1"/>
      <w:numFmt w:val="ideographTraditional"/>
      <w:lvlText w:val="%2、"/>
      <w:lvlJc w:val="left"/>
      <w:pPr>
        <w:ind w:left="-192" w:hanging="480"/>
      </w:pPr>
    </w:lvl>
    <w:lvl w:ilvl="2" w:tplc="0409001B" w:tentative="1">
      <w:start w:val="1"/>
      <w:numFmt w:val="lowerRoman"/>
      <w:lvlText w:val="%3."/>
      <w:lvlJc w:val="right"/>
      <w:pPr>
        <w:ind w:left="288" w:hanging="480"/>
      </w:pPr>
    </w:lvl>
    <w:lvl w:ilvl="3" w:tplc="0409000F" w:tentative="1">
      <w:start w:val="1"/>
      <w:numFmt w:val="decimal"/>
      <w:lvlText w:val="%4."/>
      <w:lvlJc w:val="left"/>
      <w:pPr>
        <w:ind w:left="768" w:hanging="480"/>
      </w:pPr>
    </w:lvl>
    <w:lvl w:ilvl="4" w:tplc="04090019" w:tentative="1">
      <w:start w:val="1"/>
      <w:numFmt w:val="ideographTraditional"/>
      <w:lvlText w:val="%5、"/>
      <w:lvlJc w:val="left"/>
      <w:pPr>
        <w:ind w:left="1248" w:hanging="480"/>
      </w:pPr>
    </w:lvl>
    <w:lvl w:ilvl="5" w:tplc="0409001B" w:tentative="1">
      <w:start w:val="1"/>
      <w:numFmt w:val="lowerRoman"/>
      <w:lvlText w:val="%6."/>
      <w:lvlJc w:val="right"/>
      <w:pPr>
        <w:ind w:left="1728" w:hanging="480"/>
      </w:pPr>
    </w:lvl>
    <w:lvl w:ilvl="6" w:tplc="0409000F" w:tentative="1">
      <w:start w:val="1"/>
      <w:numFmt w:val="decimal"/>
      <w:lvlText w:val="%7."/>
      <w:lvlJc w:val="left"/>
      <w:pPr>
        <w:ind w:left="2208" w:hanging="480"/>
      </w:pPr>
    </w:lvl>
    <w:lvl w:ilvl="7" w:tplc="04090019" w:tentative="1">
      <w:start w:val="1"/>
      <w:numFmt w:val="ideographTraditional"/>
      <w:lvlText w:val="%8、"/>
      <w:lvlJc w:val="left"/>
      <w:pPr>
        <w:ind w:left="2688" w:hanging="480"/>
      </w:pPr>
    </w:lvl>
    <w:lvl w:ilvl="8" w:tplc="0409001B" w:tentative="1">
      <w:start w:val="1"/>
      <w:numFmt w:val="lowerRoman"/>
      <w:lvlText w:val="%9."/>
      <w:lvlJc w:val="right"/>
      <w:pPr>
        <w:ind w:left="3168" w:hanging="480"/>
      </w:pPr>
    </w:lvl>
  </w:abstractNum>
  <w:abstractNum w:abstractNumId="17" w15:restartNumberingAfterBreak="0">
    <w:nsid w:val="6CE26101"/>
    <w:multiLevelType w:val="hybridMultilevel"/>
    <w:tmpl w:val="D27A07D8"/>
    <w:lvl w:ilvl="0" w:tplc="189C6AD0">
      <w:start w:val="1"/>
      <w:numFmt w:val="taiwaneseCountingThousand"/>
      <w:lvlText w:val="(%1)"/>
      <w:lvlJc w:val="left"/>
      <w:pPr>
        <w:ind w:left="380" w:hanging="3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9636D8"/>
    <w:multiLevelType w:val="multilevel"/>
    <w:tmpl w:val="5A224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751587">
    <w:abstractNumId w:val="15"/>
  </w:num>
  <w:num w:numId="2" w16cid:durableId="1776242737">
    <w:abstractNumId w:val="17"/>
  </w:num>
  <w:num w:numId="3" w16cid:durableId="1054616750">
    <w:abstractNumId w:val="8"/>
  </w:num>
  <w:num w:numId="4" w16cid:durableId="1263957318">
    <w:abstractNumId w:val="13"/>
  </w:num>
  <w:num w:numId="5" w16cid:durableId="1292439968">
    <w:abstractNumId w:val="16"/>
  </w:num>
  <w:num w:numId="6" w16cid:durableId="1457142090">
    <w:abstractNumId w:val="12"/>
  </w:num>
  <w:num w:numId="7" w16cid:durableId="1203250562">
    <w:abstractNumId w:val="4"/>
  </w:num>
  <w:num w:numId="8" w16cid:durableId="1748068250">
    <w:abstractNumId w:val="7"/>
  </w:num>
  <w:num w:numId="9" w16cid:durableId="1007054382">
    <w:abstractNumId w:val="11"/>
  </w:num>
  <w:num w:numId="10" w16cid:durableId="212667326">
    <w:abstractNumId w:val="9"/>
  </w:num>
  <w:num w:numId="11" w16cid:durableId="1428968059">
    <w:abstractNumId w:val="18"/>
  </w:num>
  <w:num w:numId="12" w16cid:durableId="1153254414">
    <w:abstractNumId w:val="2"/>
  </w:num>
  <w:num w:numId="13" w16cid:durableId="1299653731">
    <w:abstractNumId w:val="0"/>
  </w:num>
  <w:num w:numId="14" w16cid:durableId="944925659">
    <w:abstractNumId w:val="14"/>
  </w:num>
  <w:num w:numId="15" w16cid:durableId="958758756">
    <w:abstractNumId w:val="1"/>
  </w:num>
  <w:num w:numId="16" w16cid:durableId="1673988565">
    <w:abstractNumId w:val="3"/>
  </w:num>
  <w:num w:numId="17" w16cid:durableId="911427889">
    <w:abstractNumId w:val="10"/>
  </w:num>
  <w:num w:numId="18" w16cid:durableId="2014523959">
    <w:abstractNumId w:val="6"/>
  </w:num>
  <w:num w:numId="19" w16cid:durableId="2015762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E9"/>
    <w:rsid w:val="00014C1C"/>
    <w:rsid w:val="00034CC7"/>
    <w:rsid w:val="00081B34"/>
    <w:rsid w:val="0008602B"/>
    <w:rsid w:val="00124FF1"/>
    <w:rsid w:val="001C5C56"/>
    <w:rsid w:val="00202512"/>
    <w:rsid w:val="002360A8"/>
    <w:rsid w:val="00255CE7"/>
    <w:rsid w:val="002833A7"/>
    <w:rsid w:val="002A2796"/>
    <w:rsid w:val="00396AF4"/>
    <w:rsid w:val="003D0E28"/>
    <w:rsid w:val="003E37E9"/>
    <w:rsid w:val="003F7A8B"/>
    <w:rsid w:val="0040670F"/>
    <w:rsid w:val="004178C5"/>
    <w:rsid w:val="00424DCF"/>
    <w:rsid w:val="00492942"/>
    <w:rsid w:val="005167C4"/>
    <w:rsid w:val="00577192"/>
    <w:rsid w:val="00613FAE"/>
    <w:rsid w:val="00685079"/>
    <w:rsid w:val="006E17D7"/>
    <w:rsid w:val="006F78E7"/>
    <w:rsid w:val="00785A7B"/>
    <w:rsid w:val="007965ED"/>
    <w:rsid w:val="008216F0"/>
    <w:rsid w:val="00865E8F"/>
    <w:rsid w:val="00877D4D"/>
    <w:rsid w:val="009F4EDD"/>
    <w:rsid w:val="00A94E0A"/>
    <w:rsid w:val="00B863D2"/>
    <w:rsid w:val="00B90D5A"/>
    <w:rsid w:val="00BA7C0D"/>
    <w:rsid w:val="00C27F8A"/>
    <w:rsid w:val="00CC0280"/>
    <w:rsid w:val="00D0795A"/>
    <w:rsid w:val="00D40A25"/>
    <w:rsid w:val="00E51687"/>
    <w:rsid w:val="00E94B5C"/>
    <w:rsid w:val="00F717E6"/>
    <w:rsid w:val="00FA33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685A"/>
  <w15:chartTrackingRefBased/>
  <w15:docId w15:val="{ECDC3A2A-2BED-425F-AA27-FF874334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F4"/>
    <w:pPr>
      <w:widowControl w:val="0"/>
      <w:spacing w:after="0" w:line="240" w:lineRule="auto"/>
    </w:pPr>
    <w:rPr>
      <w:szCs w:val="22"/>
    </w:rPr>
  </w:style>
  <w:style w:type="paragraph" w:styleId="1">
    <w:name w:val="heading 1"/>
    <w:basedOn w:val="a"/>
    <w:next w:val="a"/>
    <w:link w:val="10"/>
    <w:uiPriority w:val="9"/>
    <w:qFormat/>
    <w:rsid w:val="003E37E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37E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37E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E37E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E37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37E9"/>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E37E9"/>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7E9"/>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E37E9"/>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E37E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E37E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E37E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E37E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E37E9"/>
    <w:rPr>
      <w:rFonts w:eastAsiaTheme="majorEastAsia" w:cstheme="majorBidi"/>
      <w:color w:val="0F4761" w:themeColor="accent1" w:themeShade="BF"/>
    </w:rPr>
  </w:style>
  <w:style w:type="character" w:customStyle="1" w:styleId="60">
    <w:name w:val="標題 6 字元"/>
    <w:basedOn w:val="a0"/>
    <w:link w:val="6"/>
    <w:uiPriority w:val="9"/>
    <w:semiHidden/>
    <w:rsid w:val="003E37E9"/>
    <w:rPr>
      <w:rFonts w:eastAsiaTheme="majorEastAsia" w:cstheme="majorBidi"/>
      <w:color w:val="595959" w:themeColor="text1" w:themeTint="A6"/>
    </w:rPr>
  </w:style>
  <w:style w:type="character" w:customStyle="1" w:styleId="70">
    <w:name w:val="標題 7 字元"/>
    <w:basedOn w:val="a0"/>
    <w:link w:val="7"/>
    <w:uiPriority w:val="9"/>
    <w:semiHidden/>
    <w:rsid w:val="003E37E9"/>
    <w:rPr>
      <w:rFonts w:eastAsiaTheme="majorEastAsia" w:cstheme="majorBidi"/>
      <w:color w:val="595959" w:themeColor="text1" w:themeTint="A6"/>
    </w:rPr>
  </w:style>
  <w:style w:type="character" w:customStyle="1" w:styleId="80">
    <w:name w:val="標題 8 字元"/>
    <w:basedOn w:val="a0"/>
    <w:link w:val="8"/>
    <w:uiPriority w:val="9"/>
    <w:semiHidden/>
    <w:rsid w:val="003E37E9"/>
    <w:rPr>
      <w:rFonts w:eastAsiaTheme="majorEastAsia" w:cstheme="majorBidi"/>
      <w:color w:val="272727" w:themeColor="text1" w:themeTint="D8"/>
    </w:rPr>
  </w:style>
  <w:style w:type="character" w:customStyle="1" w:styleId="90">
    <w:name w:val="標題 9 字元"/>
    <w:basedOn w:val="a0"/>
    <w:link w:val="9"/>
    <w:uiPriority w:val="9"/>
    <w:semiHidden/>
    <w:rsid w:val="003E37E9"/>
    <w:rPr>
      <w:rFonts w:eastAsiaTheme="majorEastAsia" w:cstheme="majorBidi"/>
      <w:color w:val="272727" w:themeColor="text1" w:themeTint="D8"/>
    </w:rPr>
  </w:style>
  <w:style w:type="paragraph" w:styleId="a3">
    <w:name w:val="Title"/>
    <w:basedOn w:val="a"/>
    <w:next w:val="a"/>
    <w:link w:val="a4"/>
    <w:uiPriority w:val="10"/>
    <w:qFormat/>
    <w:rsid w:val="003E37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E3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E3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E9"/>
    <w:pPr>
      <w:spacing w:before="160"/>
      <w:jc w:val="center"/>
    </w:pPr>
    <w:rPr>
      <w:i/>
      <w:iCs/>
      <w:color w:val="404040" w:themeColor="text1" w:themeTint="BF"/>
    </w:rPr>
  </w:style>
  <w:style w:type="character" w:customStyle="1" w:styleId="a8">
    <w:name w:val="引文 字元"/>
    <w:basedOn w:val="a0"/>
    <w:link w:val="a7"/>
    <w:uiPriority w:val="29"/>
    <w:rsid w:val="003E37E9"/>
    <w:rPr>
      <w:i/>
      <w:iCs/>
      <w:color w:val="404040" w:themeColor="text1" w:themeTint="BF"/>
    </w:rPr>
  </w:style>
  <w:style w:type="paragraph" w:styleId="a9">
    <w:name w:val="List Paragraph"/>
    <w:basedOn w:val="a"/>
    <w:link w:val="aa"/>
    <w:uiPriority w:val="34"/>
    <w:qFormat/>
    <w:rsid w:val="003E37E9"/>
    <w:pPr>
      <w:ind w:left="720"/>
      <w:contextualSpacing/>
    </w:pPr>
  </w:style>
  <w:style w:type="character" w:styleId="ab">
    <w:name w:val="Intense Emphasis"/>
    <w:basedOn w:val="a0"/>
    <w:uiPriority w:val="21"/>
    <w:qFormat/>
    <w:rsid w:val="003E37E9"/>
    <w:rPr>
      <w:i/>
      <w:iCs/>
      <w:color w:val="0F4761" w:themeColor="accent1" w:themeShade="BF"/>
    </w:rPr>
  </w:style>
  <w:style w:type="paragraph" w:styleId="ac">
    <w:name w:val="Intense Quote"/>
    <w:basedOn w:val="a"/>
    <w:next w:val="a"/>
    <w:link w:val="ad"/>
    <w:uiPriority w:val="30"/>
    <w:qFormat/>
    <w:rsid w:val="003E3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3E37E9"/>
    <w:rPr>
      <w:i/>
      <w:iCs/>
      <w:color w:val="0F4761" w:themeColor="accent1" w:themeShade="BF"/>
    </w:rPr>
  </w:style>
  <w:style w:type="character" w:styleId="ae">
    <w:name w:val="Intense Reference"/>
    <w:basedOn w:val="a0"/>
    <w:uiPriority w:val="32"/>
    <w:qFormat/>
    <w:rsid w:val="003E37E9"/>
    <w:rPr>
      <w:b/>
      <w:bCs/>
      <w:smallCaps/>
      <w:color w:val="0F4761" w:themeColor="accent1" w:themeShade="BF"/>
      <w:spacing w:val="5"/>
    </w:rPr>
  </w:style>
  <w:style w:type="table" w:styleId="af">
    <w:name w:val="Table Grid"/>
    <w:basedOn w:val="a1"/>
    <w:uiPriority w:val="59"/>
    <w:rsid w:val="00396AF4"/>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qFormat/>
    <w:rsid w:val="00396AF4"/>
  </w:style>
  <w:style w:type="paragraph" w:customStyle="1" w:styleId="af0">
    <w:name w:val="表挌內文"/>
    <w:basedOn w:val="af1"/>
    <w:rsid w:val="00396AF4"/>
    <w:pPr>
      <w:spacing w:before="120"/>
      <w:ind w:leftChars="0" w:left="0"/>
      <w:jc w:val="center"/>
    </w:pPr>
    <w:rPr>
      <w:rFonts w:ascii="Arial Narrow" w:eastAsia="標楷體" w:hAnsi="Arial Narrow" w:cs="Times New Roman"/>
      <w:szCs w:val="20"/>
    </w:rPr>
  </w:style>
  <w:style w:type="paragraph" w:styleId="af1">
    <w:name w:val="Normal Indent"/>
    <w:basedOn w:val="a"/>
    <w:uiPriority w:val="99"/>
    <w:semiHidden/>
    <w:unhideWhenUsed/>
    <w:rsid w:val="00396AF4"/>
    <w:pPr>
      <w:ind w:leftChars="200" w:left="480"/>
    </w:pPr>
  </w:style>
  <w:style w:type="paragraph" w:styleId="af2">
    <w:name w:val="header"/>
    <w:basedOn w:val="a"/>
    <w:link w:val="af3"/>
    <w:uiPriority w:val="99"/>
    <w:unhideWhenUsed/>
    <w:rsid w:val="0008602B"/>
    <w:pPr>
      <w:tabs>
        <w:tab w:val="center" w:pos="4153"/>
        <w:tab w:val="right" w:pos="8306"/>
      </w:tabs>
      <w:snapToGrid w:val="0"/>
    </w:pPr>
    <w:rPr>
      <w:sz w:val="20"/>
      <w:szCs w:val="20"/>
    </w:rPr>
  </w:style>
  <w:style w:type="character" w:customStyle="1" w:styleId="af3">
    <w:name w:val="頁首 字元"/>
    <w:basedOn w:val="a0"/>
    <w:link w:val="af2"/>
    <w:uiPriority w:val="99"/>
    <w:rsid w:val="0008602B"/>
    <w:rPr>
      <w:sz w:val="20"/>
      <w:szCs w:val="20"/>
    </w:rPr>
  </w:style>
  <w:style w:type="paragraph" w:styleId="af4">
    <w:name w:val="footer"/>
    <w:basedOn w:val="a"/>
    <w:link w:val="af5"/>
    <w:uiPriority w:val="99"/>
    <w:unhideWhenUsed/>
    <w:rsid w:val="0008602B"/>
    <w:pPr>
      <w:tabs>
        <w:tab w:val="center" w:pos="4153"/>
        <w:tab w:val="right" w:pos="8306"/>
      </w:tabs>
      <w:snapToGrid w:val="0"/>
    </w:pPr>
    <w:rPr>
      <w:sz w:val="20"/>
      <w:szCs w:val="20"/>
    </w:rPr>
  </w:style>
  <w:style w:type="character" w:customStyle="1" w:styleId="af5">
    <w:name w:val="頁尾 字元"/>
    <w:basedOn w:val="a0"/>
    <w:link w:val="af4"/>
    <w:uiPriority w:val="99"/>
    <w:rsid w:val="0008602B"/>
    <w:rPr>
      <w:sz w:val="20"/>
      <w:szCs w:val="20"/>
    </w:rPr>
  </w:style>
  <w:style w:type="paragraph" w:customStyle="1" w:styleId="Default">
    <w:name w:val="Default"/>
    <w:rsid w:val="00F717E6"/>
    <w:pPr>
      <w:widowControl w:val="0"/>
      <w:autoSpaceDE w:val="0"/>
      <w:autoSpaceDN w:val="0"/>
      <w:adjustRightInd w:val="0"/>
      <w:spacing w:after="0" w:line="240" w:lineRule="auto"/>
    </w:pPr>
    <w:rPr>
      <w:rFonts w:ascii="微軟正黑體" w:eastAsia="微軟正黑體" w:cs="微軟正黑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090">
      <w:bodyDiv w:val="1"/>
      <w:marLeft w:val="0"/>
      <w:marRight w:val="0"/>
      <w:marTop w:val="0"/>
      <w:marBottom w:val="0"/>
      <w:divBdr>
        <w:top w:val="none" w:sz="0" w:space="0" w:color="auto"/>
        <w:left w:val="none" w:sz="0" w:space="0" w:color="auto"/>
        <w:bottom w:val="none" w:sz="0" w:space="0" w:color="auto"/>
        <w:right w:val="none" w:sz="0" w:space="0" w:color="auto"/>
      </w:divBdr>
    </w:div>
    <w:div w:id="327636765">
      <w:bodyDiv w:val="1"/>
      <w:marLeft w:val="0"/>
      <w:marRight w:val="0"/>
      <w:marTop w:val="0"/>
      <w:marBottom w:val="0"/>
      <w:divBdr>
        <w:top w:val="none" w:sz="0" w:space="0" w:color="auto"/>
        <w:left w:val="none" w:sz="0" w:space="0" w:color="auto"/>
        <w:bottom w:val="none" w:sz="0" w:space="0" w:color="auto"/>
        <w:right w:val="none" w:sz="0" w:space="0" w:color="auto"/>
      </w:divBdr>
    </w:div>
    <w:div w:id="332954076">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1675645921">
      <w:bodyDiv w:val="1"/>
      <w:marLeft w:val="0"/>
      <w:marRight w:val="0"/>
      <w:marTop w:val="0"/>
      <w:marBottom w:val="0"/>
      <w:divBdr>
        <w:top w:val="none" w:sz="0" w:space="0" w:color="auto"/>
        <w:left w:val="none" w:sz="0" w:space="0" w:color="auto"/>
        <w:bottom w:val="none" w:sz="0" w:space="0" w:color="auto"/>
        <w:right w:val="none" w:sz="0" w:space="0" w:color="auto"/>
      </w:divBdr>
    </w:div>
    <w:div w:id="1857697278">
      <w:bodyDiv w:val="1"/>
      <w:marLeft w:val="0"/>
      <w:marRight w:val="0"/>
      <w:marTop w:val="0"/>
      <w:marBottom w:val="0"/>
      <w:divBdr>
        <w:top w:val="none" w:sz="0" w:space="0" w:color="auto"/>
        <w:left w:val="none" w:sz="0" w:space="0" w:color="auto"/>
        <w:bottom w:val="none" w:sz="0" w:space="0" w:color="auto"/>
        <w:right w:val="none" w:sz="0" w:space="0" w:color="auto"/>
      </w:divBdr>
    </w:div>
    <w:div w:id="1979063910">
      <w:bodyDiv w:val="1"/>
      <w:marLeft w:val="0"/>
      <w:marRight w:val="0"/>
      <w:marTop w:val="0"/>
      <w:marBottom w:val="0"/>
      <w:divBdr>
        <w:top w:val="none" w:sz="0" w:space="0" w:color="auto"/>
        <w:left w:val="none" w:sz="0" w:space="0" w:color="auto"/>
        <w:bottom w:val="none" w:sz="0" w:space="0" w:color="auto"/>
        <w:right w:val="none" w:sz="0" w:space="0" w:color="auto"/>
      </w:divBdr>
    </w:div>
    <w:div w:id="20985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72E6-FE2D-4CF5-8E4F-74F9C57F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文彬 吳</dc:creator>
  <cp:keywords/>
  <dc:description/>
  <cp:lastModifiedBy>文彬 吳</cp:lastModifiedBy>
  <cp:revision>5</cp:revision>
  <dcterms:created xsi:type="dcterms:W3CDTF">2025-03-07T02:52:00Z</dcterms:created>
  <dcterms:modified xsi:type="dcterms:W3CDTF">2025-03-07T02:57:00Z</dcterms:modified>
</cp:coreProperties>
</file>